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AF73D9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AF73D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61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page" w:tblpX="319" w:tblpY="198"/>
        <w:tblW w:w="11307" w:type="dxa"/>
        <w:tblLayout w:type="fixed"/>
        <w:tblLook w:val="04A0"/>
      </w:tblPr>
      <w:tblGrid>
        <w:gridCol w:w="392"/>
        <w:gridCol w:w="1984"/>
        <w:gridCol w:w="5670"/>
        <w:gridCol w:w="567"/>
        <w:gridCol w:w="567"/>
        <w:gridCol w:w="993"/>
        <w:gridCol w:w="1134"/>
      </w:tblGrid>
      <w:tr w:rsidR="00D63404" w:rsidRPr="00AF73D9" w:rsidTr="00AF73D9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AF73D9" w:rsidRDefault="00D63404" w:rsidP="00D63404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AF73D9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AF73D9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F73D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AF73D9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F73D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AF73D9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F73D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AF73D9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F73D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AF73D9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F73D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AF73D9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F73D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</w:tr>
      <w:tr w:rsidR="00D63404" w:rsidRPr="00AF73D9" w:rsidTr="00AF73D9">
        <w:trPr>
          <w:trHeight w:val="7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AF73D9" w:rsidRDefault="00D63404" w:rsidP="00D63404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AF73D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3D9" w:rsidRPr="00AF73D9" w:rsidRDefault="00AF73D9" w:rsidP="00AF7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sz w:val="18"/>
                <w:szCs w:val="18"/>
              </w:rPr>
              <w:t xml:space="preserve">Канюля </w:t>
            </w:r>
            <w:proofErr w:type="spellStart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Янкувера</w:t>
            </w:r>
            <w:proofErr w:type="spellEnd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 xml:space="preserve"> жесткая с наконечником BULB, СН 32, изогнутая, </w:t>
            </w:r>
            <w:r w:rsidRPr="00AF73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 </w:t>
            </w:r>
            <w:proofErr w:type="spellStart"/>
            <w:proofErr w:type="gramStart"/>
            <w:r w:rsidRPr="00AF73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вакуум-контролем</w:t>
            </w:r>
            <w:proofErr w:type="spellEnd"/>
            <w:proofErr w:type="gramEnd"/>
          </w:p>
          <w:p w:rsidR="00D63404" w:rsidRPr="00AF73D9" w:rsidRDefault="00D63404" w:rsidP="00D63404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73D9" w:rsidRPr="00AF73D9" w:rsidRDefault="00AF73D9" w:rsidP="00AF7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sz w:val="18"/>
                <w:szCs w:val="18"/>
              </w:rPr>
              <w:t xml:space="preserve">Канюля </w:t>
            </w:r>
            <w:proofErr w:type="spellStart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Янкувера</w:t>
            </w:r>
            <w:proofErr w:type="spellEnd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 xml:space="preserve"> СН-32 жесткая, длиной не менее 27 см с наконечником BULB, имеет изогнутую форму рабочей части. Рукоятка длиной не более 12 см, с разъемом для крепления </w:t>
            </w:r>
            <w:proofErr w:type="spellStart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коннекторов</w:t>
            </w:r>
            <w:proofErr w:type="spellEnd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 xml:space="preserve"> типа «мама» разных размеров. Наличие клапана </w:t>
            </w:r>
            <w:proofErr w:type="spellStart"/>
            <w:proofErr w:type="gramStart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вакуум-контроля</w:t>
            </w:r>
            <w:proofErr w:type="spellEnd"/>
            <w:proofErr w:type="gramEnd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. Наконечник BULB имеет форму шарика с дополнительными четырьмя отверстиями. Количество в коробке 160 шт.</w:t>
            </w:r>
          </w:p>
          <w:p w:rsidR="00D63404" w:rsidRPr="00AF73D9" w:rsidRDefault="00D63404" w:rsidP="00D63404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AF73D9" w:rsidRDefault="00D63404" w:rsidP="00D63404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F73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AF73D9" w:rsidRDefault="00AF73D9" w:rsidP="00D63404">
            <w:pPr>
              <w:pStyle w:val="a6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F73D9"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AF73D9" w:rsidRDefault="00AF73D9" w:rsidP="00814700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F73D9">
              <w:rPr>
                <w:rFonts w:ascii="Times New Roman" w:hAnsi="Times New Roman"/>
                <w:sz w:val="18"/>
                <w:szCs w:val="18"/>
                <w:lang w:val="en-US"/>
              </w:rPr>
              <w:t>927</w:t>
            </w:r>
            <w:r w:rsidRPr="00AF73D9">
              <w:rPr>
                <w:rFonts w:ascii="Times New Roman" w:hAnsi="Times New Roman"/>
                <w:sz w:val="18"/>
                <w:szCs w:val="18"/>
                <w:lang w:val="kk-KZ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404" w:rsidRPr="00AF73D9" w:rsidRDefault="00AF73D9" w:rsidP="00814700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F73D9">
              <w:rPr>
                <w:rFonts w:ascii="Times New Roman" w:hAnsi="Times New Roman"/>
                <w:sz w:val="18"/>
                <w:szCs w:val="18"/>
                <w:lang w:val="en-US"/>
              </w:rPr>
              <w:t>46 350</w:t>
            </w:r>
            <w:r w:rsidRPr="00AF73D9">
              <w:rPr>
                <w:rFonts w:ascii="Times New Roman" w:hAnsi="Times New Roman"/>
                <w:sz w:val="18"/>
                <w:szCs w:val="18"/>
                <w:lang w:val="kk-KZ"/>
              </w:rPr>
              <w:t>,</w:t>
            </w:r>
            <w:r w:rsidRPr="00AF73D9"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</w:p>
        </w:tc>
      </w:tr>
      <w:tr w:rsidR="00D63404" w:rsidRPr="00AF73D9" w:rsidTr="00AF73D9">
        <w:trPr>
          <w:trHeight w:val="7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AF73D9" w:rsidRDefault="00D63404" w:rsidP="00D63404">
            <w:pPr>
              <w:pStyle w:val="a6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F73D9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AF73D9" w:rsidRDefault="00AF73D9" w:rsidP="00D63404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AF73D9">
              <w:rPr>
                <w:rFonts w:ascii="Times New Roman" w:hAnsi="Times New Roman"/>
                <w:sz w:val="18"/>
                <w:szCs w:val="18"/>
              </w:rPr>
              <w:t xml:space="preserve">Комплект, в составе: зубная ирригационно-аспирационная щётка, модель </w:t>
            </w:r>
            <w:proofErr w:type="spellStart"/>
            <w:r w:rsidRPr="00AF73D9">
              <w:rPr>
                <w:rFonts w:ascii="Times New Roman" w:hAnsi="Times New Roman"/>
                <w:sz w:val="18"/>
                <w:szCs w:val="18"/>
              </w:rPr>
              <w:t>OroCare</w:t>
            </w:r>
            <w:proofErr w:type="spellEnd"/>
            <w:r w:rsidRPr="00AF73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F73D9">
              <w:rPr>
                <w:rFonts w:ascii="Times New Roman" w:hAnsi="Times New Roman"/>
                <w:sz w:val="18"/>
                <w:szCs w:val="18"/>
              </w:rPr>
              <w:t>Select</w:t>
            </w:r>
            <w:proofErr w:type="spellEnd"/>
            <w:r w:rsidRPr="00AF73D9">
              <w:rPr>
                <w:rFonts w:ascii="Times New Roman" w:hAnsi="Times New Roman"/>
                <w:sz w:val="18"/>
                <w:szCs w:val="18"/>
              </w:rPr>
              <w:t xml:space="preserve">, полимерная игла с </w:t>
            </w:r>
            <w:proofErr w:type="spellStart"/>
            <w:r w:rsidRPr="00AF73D9">
              <w:rPr>
                <w:rFonts w:ascii="Times New Roman" w:hAnsi="Times New Roman"/>
                <w:sz w:val="18"/>
                <w:szCs w:val="18"/>
              </w:rPr>
              <w:t>раширителем</w:t>
            </w:r>
            <w:proofErr w:type="spellEnd"/>
            <w:r w:rsidRPr="00AF73D9">
              <w:rPr>
                <w:rFonts w:ascii="Times New Roman" w:hAnsi="Times New Roman"/>
                <w:sz w:val="18"/>
                <w:szCs w:val="18"/>
              </w:rPr>
              <w:t xml:space="preserve"> – 1 шт., пустая закрытая ампула </w:t>
            </w:r>
            <w:proofErr w:type="spellStart"/>
            <w:r w:rsidRPr="00AF73D9">
              <w:rPr>
                <w:rFonts w:ascii="Times New Roman" w:hAnsi="Times New Roman"/>
                <w:sz w:val="18"/>
                <w:szCs w:val="18"/>
              </w:rPr>
              <w:t>OroFill</w:t>
            </w:r>
            <w:proofErr w:type="spellEnd"/>
            <w:r w:rsidRPr="00AF73D9">
              <w:rPr>
                <w:rFonts w:ascii="Times New Roman" w:hAnsi="Times New Roman"/>
                <w:sz w:val="18"/>
                <w:szCs w:val="18"/>
              </w:rPr>
              <w:t xml:space="preserve"> – 1 </w:t>
            </w:r>
            <w:proofErr w:type="spellStart"/>
            <w:proofErr w:type="gramStart"/>
            <w:r w:rsidRPr="00AF73D9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AF73D9" w:rsidRDefault="00AF73D9" w:rsidP="00D63404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AF73D9">
              <w:rPr>
                <w:rFonts w:ascii="Times New Roman" w:hAnsi="Times New Roman"/>
                <w:sz w:val="18"/>
                <w:szCs w:val="18"/>
              </w:rPr>
              <w:t xml:space="preserve">Комплект, в составе: зубная ирригационно-аспирационная щётка, модель </w:t>
            </w:r>
            <w:proofErr w:type="spellStart"/>
            <w:r w:rsidRPr="00AF73D9">
              <w:rPr>
                <w:rFonts w:ascii="Times New Roman" w:hAnsi="Times New Roman"/>
                <w:sz w:val="18"/>
                <w:szCs w:val="18"/>
              </w:rPr>
              <w:t>OroCare</w:t>
            </w:r>
            <w:proofErr w:type="spellEnd"/>
            <w:r w:rsidRPr="00AF73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F73D9">
              <w:rPr>
                <w:rFonts w:ascii="Times New Roman" w:hAnsi="Times New Roman"/>
                <w:sz w:val="18"/>
                <w:szCs w:val="18"/>
              </w:rPr>
              <w:t>Select</w:t>
            </w:r>
            <w:proofErr w:type="spellEnd"/>
            <w:r w:rsidRPr="00AF73D9">
              <w:rPr>
                <w:rFonts w:ascii="Times New Roman" w:hAnsi="Times New Roman"/>
                <w:sz w:val="18"/>
                <w:szCs w:val="18"/>
              </w:rPr>
              <w:t xml:space="preserve"> -1 шт., полимерная игла с </w:t>
            </w:r>
            <w:proofErr w:type="spellStart"/>
            <w:r w:rsidRPr="00AF73D9">
              <w:rPr>
                <w:rFonts w:ascii="Times New Roman" w:hAnsi="Times New Roman"/>
                <w:sz w:val="18"/>
                <w:szCs w:val="18"/>
              </w:rPr>
              <w:t>ра</w:t>
            </w:r>
            <w:proofErr w:type="gramStart"/>
            <w:r w:rsidRPr="00AF73D9">
              <w:rPr>
                <w:rFonts w:ascii="Times New Roman" w:hAnsi="Times New Roman"/>
                <w:sz w:val="18"/>
                <w:szCs w:val="18"/>
              </w:rPr>
              <w:t>c</w:t>
            </w:r>
            <w:proofErr w:type="gramEnd"/>
            <w:r w:rsidRPr="00AF73D9">
              <w:rPr>
                <w:rFonts w:ascii="Times New Roman" w:hAnsi="Times New Roman"/>
                <w:sz w:val="18"/>
                <w:szCs w:val="18"/>
              </w:rPr>
              <w:t>ширителем</w:t>
            </w:r>
            <w:proofErr w:type="spellEnd"/>
            <w:r w:rsidRPr="00AF73D9">
              <w:rPr>
                <w:rFonts w:ascii="Times New Roman" w:hAnsi="Times New Roman"/>
                <w:sz w:val="18"/>
                <w:szCs w:val="18"/>
              </w:rPr>
              <w:t xml:space="preserve"> – 1 шт., пустая закрытая ампула </w:t>
            </w:r>
            <w:proofErr w:type="spellStart"/>
            <w:r w:rsidRPr="00AF73D9">
              <w:rPr>
                <w:rFonts w:ascii="Times New Roman" w:hAnsi="Times New Roman"/>
                <w:sz w:val="18"/>
                <w:szCs w:val="18"/>
              </w:rPr>
              <w:t>OroFill</w:t>
            </w:r>
            <w:proofErr w:type="spellEnd"/>
            <w:r w:rsidRPr="00AF73D9">
              <w:rPr>
                <w:rFonts w:ascii="Times New Roman" w:hAnsi="Times New Roman"/>
                <w:sz w:val="18"/>
                <w:szCs w:val="18"/>
              </w:rPr>
              <w:t xml:space="preserve"> – 1 шт.; предназначен для чистки зубов с возможностью ирригации ротовой полости и аспирации содержимого ротовой полости. Длина щетки 22,7 см. Конструкция щетки составная разборная. Внутренняя полость щетки представляет собой ирригационный канал, который заканчивается соединительным </w:t>
            </w:r>
            <w:proofErr w:type="spellStart"/>
            <w:r w:rsidRPr="00AF73D9">
              <w:rPr>
                <w:rFonts w:ascii="Times New Roman" w:hAnsi="Times New Roman"/>
                <w:sz w:val="18"/>
                <w:szCs w:val="18"/>
              </w:rPr>
              <w:t>коннектором</w:t>
            </w:r>
            <w:proofErr w:type="spellEnd"/>
            <w:r w:rsidRPr="00AF73D9">
              <w:rPr>
                <w:rFonts w:ascii="Times New Roman" w:hAnsi="Times New Roman"/>
                <w:sz w:val="18"/>
                <w:szCs w:val="18"/>
              </w:rPr>
              <w:t xml:space="preserve"> для подсоединения аспирационной трубки. Тело щетки длиной 12,5 см с чистящей головкой длиной 1,6 см </w:t>
            </w:r>
            <w:proofErr w:type="gramStart"/>
            <w:r w:rsidRPr="00AF73D9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AF73D9">
              <w:rPr>
                <w:rFonts w:ascii="Times New Roman" w:hAnsi="Times New Roman"/>
                <w:sz w:val="18"/>
                <w:szCs w:val="18"/>
              </w:rPr>
              <w:t xml:space="preserve"> щетинками. На головке щетки имеется 1 ирригационное отверстие длиной 0,8 см. Рукоятка щетки длиной 12,2 см. Внешний диаметр соединительного патрубка – 5,6 мм, внутренний – 4,1 мм. Полимерная игла предназначена для заполнения раствором или прокола ампулы, используемой с зубной ирригационно-аспирационной щеткой </w:t>
            </w:r>
            <w:proofErr w:type="spellStart"/>
            <w:r w:rsidRPr="00AF73D9">
              <w:rPr>
                <w:rFonts w:ascii="Times New Roman" w:hAnsi="Times New Roman"/>
                <w:sz w:val="18"/>
                <w:szCs w:val="18"/>
              </w:rPr>
              <w:t>OroCare</w:t>
            </w:r>
            <w:proofErr w:type="spellEnd"/>
            <w:r w:rsidRPr="00AF73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F73D9">
              <w:rPr>
                <w:rFonts w:ascii="Times New Roman" w:hAnsi="Times New Roman"/>
                <w:sz w:val="18"/>
                <w:szCs w:val="18"/>
              </w:rPr>
              <w:t>Select</w:t>
            </w:r>
            <w:proofErr w:type="spellEnd"/>
            <w:r w:rsidRPr="00AF73D9">
              <w:rPr>
                <w:rFonts w:ascii="Times New Roman" w:hAnsi="Times New Roman"/>
                <w:sz w:val="18"/>
                <w:szCs w:val="18"/>
              </w:rPr>
              <w:t xml:space="preserve">. Длина иглы – 0,75 см, высота кромки гребня – 0,4 см. Игла имеет порт подачи типа </w:t>
            </w:r>
            <w:proofErr w:type="spellStart"/>
            <w:r w:rsidRPr="00AF73D9">
              <w:rPr>
                <w:rFonts w:ascii="Times New Roman" w:hAnsi="Times New Roman"/>
                <w:sz w:val="18"/>
                <w:szCs w:val="18"/>
              </w:rPr>
              <w:t>Iuer</w:t>
            </w:r>
            <w:proofErr w:type="spellEnd"/>
            <w:r w:rsidRPr="00AF73D9">
              <w:rPr>
                <w:rFonts w:ascii="Times New Roman" w:hAnsi="Times New Roman"/>
                <w:sz w:val="18"/>
                <w:szCs w:val="18"/>
              </w:rPr>
              <w:t xml:space="preserve">. Пустая закрытая ампула </w:t>
            </w:r>
            <w:proofErr w:type="spellStart"/>
            <w:r w:rsidRPr="00AF73D9">
              <w:rPr>
                <w:rFonts w:ascii="Times New Roman" w:hAnsi="Times New Roman"/>
                <w:sz w:val="18"/>
                <w:szCs w:val="18"/>
              </w:rPr>
              <w:t>OroFill</w:t>
            </w:r>
            <w:proofErr w:type="spellEnd"/>
            <w:r w:rsidRPr="00AF73D9">
              <w:rPr>
                <w:rFonts w:ascii="Times New Roman" w:hAnsi="Times New Roman"/>
                <w:sz w:val="18"/>
                <w:szCs w:val="18"/>
              </w:rPr>
              <w:t xml:space="preserve"> предназначена для ирригации раствора в ротовую полость. Объем ампулы 14 мл. Материал щетки – полиэтилен, материал щетины – полиэтилен, материал иглы – </w:t>
            </w:r>
            <w:proofErr w:type="spellStart"/>
            <w:r w:rsidRPr="00AF73D9">
              <w:rPr>
                <w:rFonts w:ascii="Times New Roman" w:hAnsi="Times New Roman"/>
                <w:sz w:val="18"/>
                <w:szCs w:val="18"/>
              </w:rPr>
              <w:t>полилак</w:t>
            </w:r>
            <w:proofErr w:type="spellEnd"/>
            <w:r w:rsidRPr="00AF73D9">
              <w:rPr>
                <w:rFonts w:ascii="Times New Roman" w:hAnsi="Times New Roman"/>
                <w:sz w:val="18"/>
                <w:szCs w:val="18"/>
              </w:rPr>
              <w:t xml:space="preserve">, материал ампулы – полиэтилен. Размеры заданы номинальными значениями. Предельные отклонения могут составлять не более 5%. Комплект предназначен для одноразового использования. Не содержит латекса, </w:t>
            </w:r>
            <w:proofErr w:type="spellStart"/>
            <w:r w:rsidRPr="00AF73D9">
              <w:rPr>
                <w:rFonts w:ascii="Times New Roman" w:hAnsi="Times New Roman"/>
                <w:sz w:val="18"/>
                <w:szCs w:val="18"/>
              </w:rPr>
              <w:t>фталатов</w:t>
            </w:r>
            <w:proofErr w:type="spellEnd"/>
            <w:r w:rsidRPr="00AF73D9">
              <w:rPr>
                <w:rFonts w:ascii="Times New Roman" w:hAnsi="Times New Roman"/>
                <w:sz w:val="18"/>
                <w:szCs w:val="18"/>
              </w:rPr>
              <w:t xml:space="preserve"> и других потенциально опасных веществ. Упаковка индивидуальная, клинически чистая. Срок годности 3 года от даты изготовления.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AF73D9" w:rsidRDefault="00D63404" w:rsidP="00D63404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F73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590169" w:rsidRDefault="00590169" w:rsidP="00D63404">
            <w:pPr>
              <w:pStyle w:val="a6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AF73D9" w:rsidRDefault="00AF73D9" w:rsidP="00D63404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F73D9">
              <w:rPr>
                <w:rFonts w:ascii="Times New Roman" w:hAnsi="Times New Roman"/>
                <w:sz w:val="18"/>
                <w:szCs w:val="18"/>
                <w:lang w:val="kk-KZ"/>
              </w:rPr>
              <w:t>2342,00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404" w:rsidRPr="00AF73D9" w:rsidRDefault="00590169" w:rsidP="00590169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117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="00AF73D9" w:rsidRPr="00AF73D9">
              <w:rPr>
                <w:rFonts w:ascii="Times New Roman" w:hAnsi="Times New Roman"/>
                <w:sz w:val="18"/>
                <w:szCs w:val="18"/>
                <w:lang w:val="kk-KZ"/>
              </w:rPr>
              <w:t>0,00</w:t>
            </w:r>
          </w:p>
        </w:tc>
      </w:tr>
      <w:tr w:rsidR="00D63404" w:rsidRPr="00AF73D9" w:rsidTr="00AF73D9">
        <w:trPr>
          <w:trHeight w:val="5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AF73D9" w:rsidRDefault="00AF73D9" w:rsidP="00D63404">
            <w:pPr>
              <w:pStyle w:val="a6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F73D9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73D9" w:rsidRPr="00AF73D9" w:rsidRDefault="00AF73D9" w:rsidP="00AF7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sz w:val="18"/>
                <w:szCs w:val="18"/>
              </w:rPr>
              <w:t xml:space="preserve">Соединитель гибкий конфигурируемый </w:t>
            </w:r>
            <w:proofErr w:type="spellStart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Superset</w:t>
            </w:r>
            <w:proofErr w:type="spellEnd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 xml:space="preserve">  угловой шарнирный 22F-22M/15F с портом 7,6/9,5мм "двойной </w:t>
            </w:r>
            <w:proofErr w:type="spellStart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колпачёк</w:t>
            </w:r>
            <w:proofErr w:type="spellEnd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Flip</w:t>
            </w:r>
            <w:proofErr w:type="spellEnd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top</w:t>
            </w:r>
            <w:proofErr w:type="spellEnd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D63404" w:rsidRPr="00AF73D9" w:rsidRDefault="00D63404" w:rsidP="00D63404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73D9" w:rsidRPr="00AF73D9" w:rsidRDefault="00AF73D9" w:rsidP="00AF73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3D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Соединитель</w:t>
            </w:r>
            <w:proofErr w:type="gramEnd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 xml:space="preserve"> конфигурируемый угловой с </w:t>
            </w:r>
            <w:proofErr w:type="spellStart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коннекторами</w:t>
            </w:r>
            <w:proofErr w:type="spellEnd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 xml:space="preserve"> типа  22F-22М/15F, должен быть с двойным шарниром, с герметичным двойным портом ID/OD 7,6/9,5мм, с последовательно открывающимися крышкой и колпачком. Порт под крышкой выполнен с </w:t>
            </w:r>
            <w:proofErr w:type="spellStart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эластомерной</w:t>
            </w:r>
            <w:proofErr w:type="spellEnd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 xml:space="preserve"> герметизирующей чистящей манжетой. Длина соединителя путём растягивания изменяется от 7,0-15,0 см. Материал: полиэтилен, полипропилен, </w:t>
            </w:r>
            <w:proofErr w:type="spellStart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эластомер</w:t>
            </w:r>
            <w:proofErr w:type="gramStart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паковка</w:t>
            </w:r>
            <w:proofErr w:type="spellEnd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 xml:space="preserve">: индивидуальная, клинически чистая, 75 шт. Срок годности (срок гарантии): 5 лет от даты изготовления. Материал: полиэтилен, полипропилен, </w:t>
            </w:r>
            <w:proofErr w:type="spellStart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эластомер</w:t>
            </w:r>
            <w:proofErr w:type="gramStart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>паковка</w:t>
            </w:r>
            <w:proofErr w:type="spellEnd"/>
            <w:r w:rsidRPr="00AF73D9">
              <w:rPr>
                <w:rFonts w:ascii="Times New Roman" w:hAnsi="Times New Roman" w:cs="Times New Roman"/>
                <w:sz w:val="18"/>
                <w:szCs w:val="18"/>
              </w:rPr>
              <w:t xml:space="preserve">: индивидуальная, клинически чистая, 75 шт. Срок годности (срок гарантии): 5 лет от даты изготовления. </w:t>
            </w:r>
          </w:p>
          <w:p w:rsidR="00D63404" w:rsidRPr="00AF73D9" w:rsidRDefault="00D63404" w:rsidP="00D63404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AF73D9" w:rsidRDefault="00814700" w:rsidP="00D63404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F73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AF73D9" w:rsidRDefault="00590169" w:rsidP="00D63404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AF73D9" w:rsidRPr="00AF73D9">
              <w:rPr>
                <w:rFonts w:ascii="Times New Roman" w:hAnsi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AF73D9" w:rsidRDefault="00AF73D9" w:rsidP="00D63404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F73D9">
              <w:rPr>
                <w:rFonts w:ascii="Times New Roman" w:hAnsi="Times New Roman"/>
                <w:sz w:val="18"/>
                <w:szCs w:val="18"/>
                <w:lang w:val="kk-KZ"/>
              </w:rPr>
              <w:t>1177,00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404" w:rsidRPr="00AF73D9" w:rsidRDefault="00590169" w:rsidP="00D63404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235 400</w:t>
            </w:r>
            <w:r w:rsidR="00AF73D9" w:rsidRPr="00AF73D9">
              <w:rPr>
                <w:rFonts w:ascii="Times New Roman" w:hAnsi="Times New Roman"/>
                <w:sz w:val="18"/>
                <w:szCs w:val="18"/>
                <w:lang w:val="kk-KZ"/>
              </w:rPr>
              <w:t>,00</w:t>
            </w:r>
          </w:p>
        </w:tc>
      </w:tr>
      <w:tr w:rsidR="00814700" w:rsidRPr="00AF73D9" w:rsidTr="00AF73D9">
        <w:trPr>
          <w:trHeight w:val="2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00" w:rsidRPr="00AF73D9" w:rsidRDefault="00814700" w:rsidP="00814700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700" w:rsidRPr="00AF73D9" w:rsidRDefault="00814700" w:rsidP="00814700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73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700" w:rsidRPr="00AF73D9" w:rsidRDefault="00814700" w:rsidP="00814700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14700" w:rsidRPr="00AF73D9" w:rsidRDefault="00814700" w:rsidP="00814700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700" w:rsidRPr="00AF73D9" w:rsidRDefault="00814700" w:rsidP="00814700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4700" w:rsidRPr="00AF73D9" w:rsidRDefault="00814700" w:rsidP="00814700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4700" w:rsidRPr="00AF73D9" w:rsidRDefault="00814700" w:rsidP="00814700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00" w:rsidRPr="00590169" w:rsidRDefault="00590169" w:rsidP="00E03383">
            <w:pPr>
              <w:pStyle w:val="a6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398 850.00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63404" w:rsidRDefault="00D63404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становлением Правительства РК №375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от 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04.06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21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lastRenderedPageBreak/>
        <w:t xml:space="preserve">Срок поставки: </w:t>
      </w:r>
      <w:r w:rsidR="00994162">
        <w:rPr>
          <w:rFonts w:ascii="Times New Roman" w:hAnsi="Times New Roman"/>
          <w:b/>
          <w:sz w:val="20"/>
          <w:szCs w:val="20"/>
          <w:lang w:eastAsia="ru-RU"/>
        </w:rPr>
        <w:t>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994162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0 дней, со дня поставки товара 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Default="003040AD" w:rsidP="006F1EC8">
      <w:pPr>
        <w:pStyle w:val="a6"/>
        <w:rPr>
          <w:rFonts w:ascii="Times New Roman" w:hAnsi="Times New Roman"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E03383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9646AD" w:rsidRPr="009646AD">
        <w:rPr>
          <w:rFonts w:ascii="Times New Roman" w:hAnsi="Times New Roman"/>
          <w:b/>
          <w:sz w:val="20"/>
          <w:szCs w:val="20"/>
          <w:lang w:eastAsia="ru-RU"/>
        </w:rPr>
        <w:t>5</w:t>
      </w:r>
      <w:r w:rsidR="00D63404">
        <w:rPr>
          <w:rFonts w:ascii="Times New Roman" w:hAnsi="Times New Roman"/>
          <w:b/>
          <w:sz w:val="20"/>
          <w:szCs w:val="20"/>
          <w:lang w:eastAsia="ru-RU"/>
        </w:rPr>
        <w:t>.1</w:t>
      </w:r>
      <w:r w:rsidR="00E03383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AF73D9" w:rsidRPr="00AF73D9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9646AD" w:rsidRPr="009646AD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E03383">
        <w:rPr>
          <w:rFonts w:ascii="Times New Roman" w:hAnsi="Times New Roman"/>
          <w:b/>
          <w:sz w:val="20"/>
          <w:szCs w:val="20"/>
          <w:lang w:val="kk-KZ" w:eastAsia="ru-RU"/>
        </w:rPr>
        <w:t xml:space="preserve"> ноя</w:t>
      </w:r>
      <w:r w:rsidR="00F50C61">
        <w:rPr>
          <w:rFonts w:ascii="Times New Roman" w:hAnsi="Times New Roman"/>
          <w:b/>
          <w:sz w:val="20"/>
          <w:szCs w:val="20"/>
          <w:lang w:val="kk-KZ" w:eastAsia="ru-RU"/>
        </w:rPr>
        <w:t xml:space="preserve">бря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AF73D9" w:rsidRPr="00AF73D9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9646AD">
        <w:rPr>
          <w:rFonts w:ascii="Times New Roman" w:hAnsi="Times New Roman"/>
          <w:b/>
          <w:sz w:val="20"/>
          <w:szCs w:val="20"/>
          <w:lang w:val="en-US" w:eastAsia="ru-RU"/>
        </w:rPr>
        <w:t>2</w:t>
      </w:r>
      <w:r w:rsidR="00E03383">
        <w:rPr>
          <w:rFonts w:ascii="Times New Roman" w:hAnsi="Times New Roman"/>
          <w:b/>
          <w:sz w:val="20"/>
          <w:szCs w:val="20"/>
          <w:lang w:val="kk-KZ" w:eastAsia="ru-RU"/>
        </w:rPr>
        <w:t xml:space="preserve"> ноября </w:t>
      </w:r>
      <w:r w:rsidR="00E03383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814700" w:rsidRDefault="00814700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814700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380" w:rsidRPr="000118F2" w:rsidRDefault="00F72380" w:rsidP="000118F2">
      <w:pPr>
        <w:spacing w:after="0" w:line="240" w:lineRule="auto"/>
      </w:pPr>
      <w:r>
        <w:separator/>
      </w:r>
    </w:p>
  </w:endnote>
  <w:endnote w:type="continuationSeparator" w:id="0">
    <w:p w:rsidR="00F72380" w:rsidRPr="000118F2" w:rsidRDefault="00F72380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380" w:rsidRPr="000118F2" w:rsidRDefault="00F72380" w:rsidP="000118F2">
      <w:pPr>
        <w:spacing w:after="0" w:line="240" w:lineRule="auto"/>
      </w:pPr>
      <w:r>
        <w:separator/>
      </w:r>
    </w:p>
  </w:footnote>
  <w:footnote w:type="continuationSeparator" w:id="0">
    <w:p w:rsidR="00F72380" w:rsidRPr="000118F2" w:rsidRDefault="00F72380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60000"/>
    <w:multiLevelType w:val="multilevel"/>
    <w:tmpl w:val="400C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05A44"/>
    <w:rsid w:val="000118F2"/>
    <w:rsid w:val="00013F9B"/>
    <w:rsid w:val="0001400F"/>
    <w:rsid w:val="000140A8"/>
    <w:rsid w:val="000177AE"/>
    <w:rsid w:val="0002304D"/>
    <w:rsid w:val="00023DCA"/>
    <w:rsid w:val="00043C18"/>
    <w:rsid w:val="00050251"/>
    <w:rsid w:val="00053661"/>
    <w:rsid w:val="00060424"/>
    <w:rsid w:val="00067820"/>
    <w:rsid w:val="00070A78"/>
    <w:rsid w:val="0008032C"/>
    <w:rsid w:val="00091656"/>
    <w:rsid w:val="00093011"/>
    <w:rsid w:val="00094C53"/>
    <w:rsid w:val="000A3676"/>
    <w:rsid w:val="000B5424"/>
    <w:rsid w:val="000B6900"/>
    <w:rsid w:val="000C0B75"/>
    <w:rsid w:val="000E6BB9"/>
    <w:rsid w:val="000F55E1"/>
    <w:rsid w:val="000F7E7F"/>
    <w:rsid w:val="000F7EF4"/>
    <w:rsid w:val="00101E8A"/>
    <w:rsid w:val="001035F2"/>
    <w:rsid w:val="00104C60"/>
    <w:rsid w:val="00107925"/>
    <w:rsid w:val="00115554"/>
    <w:rsid w:val="00120CCF"/>
    <w:rsid w:val="0013071D"/>
    <w:rsid w:val="00132887"/>
    <w:rsid w:val="0015193C"/>
    <w:rsid w:val="00161006"/>
    <w:rsid w:val="00161E7A"/>
    <w:rsid w:val="00170FFA"/>
    <w:rsid w:val="001839A7"/>
    <w:rsid w:val="001A285A"/>
    <w:rsid w:val="001A35E4"/>
    <w:rsid w:val="001A7562"/>
    <w:rsid w:val="001B0DF0"/>
    <w:rsid w:val="001C0D8E"/>
    <w:rsid w:val="001C670B"/>
    <w:rsid w:val="001D6C80"/>
    <w:rsid w:val="001E0817"/>
    <w:rsid w:val="001E1D4F"/>
    <w:rsid w:val="001E3350"/>
    <w:rsid w:val="001E4086"/>
    <w:rsid w:val="00215A91"/>
    <w:rsid w:val="00245D96"/>
    <w:rsid w:val="00247D3E"/>
    <w:rsid w:val="00281ECC"/>
    <w:rsid w:val="00282D1D"/>
    <w:rsid w:val="002A4AF8"/>
    <w:rsid w:val="002A6B3C"/>
    <w:rsid w:val="002B5B7C"/>
    <w:rsid w:val="002E2C48"/>
    <w:rsid w:val="002F52EC"/>
    <w:rsid w:val="002F536A"/>
    <w:rsid w:val="002F7993"/>
    <w:rsid w:val="00303BB9"/>
    <w:rsid w:val="00303F98"/>
    <w:rsid w:val="003040AD"/>
    <w:rsid w:val="00312365"/>
    <w:rsid w:val="00317F1E"/>
    <w:rsid w:val="003220E4"/>
    <w:rsid w:val="00334CAA"/>
    <w:rsid w:val="003370EA"/>
    <w:rsid w:val="00342C80"/>
    <w:rsid w:val="00345675"/>
    <w:rsid w:val="00345894"/>
    <w:rsid w:val="003466F8"/>
    <w:rsid w:val="00346A55"/>
    <w:rsid w:val="0035156E"/>
    <w:rsid w:val="003527EA"/>
    <w:rsid w:val="00353531"/>
    <w:rsid w:val="0036550B"/>
    <w:rsid w:val="003702B1"/>
    <w:rsid w:val="00370BD1"/>
    <w:rsid w:val="00377875"/>
    <w:rsid w:val="00384976"/>
    <w:rsid w:val="00392545"/>
    <w:rsid w:val="003A1021"/>
    <w:rsid w:val="003A49AA"/>
    <w:rsid w:val="003A664F"/>
    <w:rsid w:val="003B545C"/>
    <w:rsid w:val="003D2558"/>
    <w:rsid w:val="003D7093"/>
    <w:rsid w:val="003E19EF"/>
    <w:rsid w:val="003F1680"/>
    <w:rsid w:val="00405958"/>
    <w:rsid w:val="00415723"/>
    <w:rsid w:val="004163F5"/>
    <w:rsid w:val="0043224E"/>
    <w:rsid w:val="00444081"/>
    <w:rsid w:val="00446173"/>
    <w:rsid w:val="0045471F"/>
    <w:rsid w:val="00454A1F"/>
    <w:rsid w:val="00465517"/>
    <w:rsid w:val="00475F7F"/>
    <w:rsid w:val="004772B1"/>
    <w:rsid w:val="004A15A7"/>
    <w:rsid w:val="004B2284"/>
    <w:rsid w:val="004B51B9"/>
    <w:rsid w:val="004C2288"/>
    <w:rsid w:val="004C2CA7"/>
    <w:rsid w:val="004C545E"/>
    <w:rsid w:val="004C5F04"/>
    <w:rsid w:val="004F5844"/>
    <w:rsid w:val="004F6676"/>
    <w:rsid w:val="0050049E"/>
    <w:rsid w:val="0051371A"/>
    <w:rsid w:val="00513D58"/>
    <w:rsid w:val="0052142E"/>
    <w:rsid w:val="00533471"/>
    <w:rsid w:val="00541E88"/>
    <w:rsid w:val="00542D70"/>
    <w:rsid w:val="005444DE"/>
    <w:rsid w:val="00551D06"/>
    <w:rsid w:val="005537A8"/>
    <w:rsid w:val="00590169"/>
    <w:rsid w:val="005A6C5A"/>
    <w:rsid w:val="005A770D"/>
    <w:rsid w:val="005B460C"/>
    <w:rsid w:val="005C034F"/>
    <w:rsid w:val="005C075D"/>
    <w:rsid w:val="005C2097"/>
    <w:rsid w:val="005C5A30"/>
    <w:rsid w:val="005E04B8"/>
    <w:rsid w:val="005F3701"/>
    <w:rsid w:val="005F720B"/>
    <w:rsid w:val="0060408D"/>
    <w:rsid w:val="00604140"/>
    <w:rsid w:val="00604C7B"/>
    <w:rsid w:val="00613525"/>
    <w:rsid w:val="006220DD"/>
    <w:rsid w:val="0067319E"/>
    <w:rsid w:val="006917E3"/>
    <w:rsid w:val="00694F21"/>
    <w:rsid w:val="006C4C19"/>
    <w:rsid w:val="006E03EE"/>
    <w:rsid w:val="006E46E5"/>
    <w:rsid w:val="006E7ABC"/>
    <w:rsid w:val="006F1477"/>
    <w:rsid w:val="006F1EC8"/>
    <w:rsid w:val="006F55A3"/>
    <w:rsid w:val="00704F06"/>
    <w:rsid w:val="00706F24"/>
    <w:rsid w:val="007328F5"/>
    <w:rsid w:val="00741F4C"/>
    <w:rsid w:val="00742378"/>
    <w:rsid w:val="00745E58"/>
    <w:rsid w:val="00746B75"/>
    <w:rsid w:val="0074782E"/>
    <w:rsid w:val="00762A95"/>
    <w:rsid w:val="0077565C"/>
    <w:rsid w:val="0078628D"/>
    <w:rsid w:val="007B3564"/>
    <w:rsid w:val="007C00EC"/>
    <w:rsid w:val="007C31C5"/>
    <w:rsid w:val="007C7CC3"/>
    <w:rsid w:val="007F1587"/>
    <w:rsid w:val="00814700"/>
    <w:rsid w:val="008235FA"/>
    <w:rsid w:val="00857BFF"/>
    <w:rsid w:val="00866A04"/>
    <w:rsid w:val="00875CCC"/>
    <w:rsid w:val="00885171"/>
    <w:rsid w:val="00885D22"/>
    <w:rsid w:val="008874DA"/>
    <w:rsid w:val="00893E79"/>
    <w:rsid w:val="008A321E"/>
    <w:rsid w:val="008B0C20"/>
    <w:rsid w:val="008B7651"/>
    <w:rsid w:val="008B7FE9"/>
    <w:rsid w:val="008C27A1"/>
    <w:rsid w:val="009056C9"/>
    <w:rsid w:val="009237CA"/>
    <w:rsid w:val="00935DE7"/>
    <w:rsid w:val="00936184"/>
    <w:rsid w:val="00936335"/>
    <w:rsid w:val="00936F87"/>
    <w:rsid w:val="00961CDE"/>
    <w:rsid w:val="00961F9A"/>
    <w:rsid w:val="009646AD"/>
    <w:rsid w:val="00966783"/>
    <w:rsid w:val="00970CCF"/>
    <w:rsid w:val="00973740"/>
    <w:rsid w:val="00976AB2"/>
    <w:rsid w:val="009804DA"/>
    <w:rsid w:val="009935E1"/>
    <w:rsid w:val="00994162"/>
    <w:rsid w:val="009B3F56"/>
    <w:rsid w:val="009C0C8D"/>
    <w:rsid w:val="009D1403"/>
    <w:rsid w:val="009D67DB"/>
    <w:rsid w:val="009E0631"/>
    <w:rsid w:val="00A047A0"/>
    <w:rsid w:val="00A14746"/>
    <w:rsid w:val="00A22906"/>
    <w:rsid w:val="00A25C34"/>
    <w:rsid w:val="00A26C5B"/>
    <w:rsid w:val="00A43BB5"/>
    <w:rsid w:val="00A5093F"/>
    <w:rsid w:val="00A50D37"/>
    <w:rsid w:val="00A65211"/>
    <w:rsid w:val="00A74B54"/>
    <w:rsid w:val="00A74EC7"/>
    <w:rsid w:val="00A7562D"/>
    <w:rsid w:val="00A75FB5"/>
    <w:rsid w:val="00A82111"/>
    <w:rsid w:val="00A8719C"/>
    <w:rsid w:val="00A90D4B"/>
    <w:rsid w:val="00AA2D97"/>
    <w:rsid w:val="00AB3152"/>
    <w:rsid w:val="00AB64ED"/>
    <w:rsid w:val="00AC1476"/>
    <w:rsid w:val="00AC5192"/>
    <w:rsid w:val="00AC7A88"/>
    <w:rsid w:val="00AD1F1D"/>
    <w:rsid w:val="00AF118D"/>
    <w:rsid w:val="00AF138D"/>
    <w:rsid w:val="00AF29E7"/>
    <w:rsid w:val="00AF73D9"/>
    <w:rsid w:val="00B10129"/>
    <w:rsid w:val="00B17534"/>
    <w:rsid w:val="00B20E4E"/>
    <w:rsid w:val="00B20F89"/>
    <w:rsid w:val="00B21242"/>
    <w:rsid w:val="00B25336"/>
    <w:rsid w:val="00B27D34"/>
    <w:rsid w:val="00B35BC0"/>
    <w:rsid w:val="00B411DA"/>
    <w:rsid w:val="00B41C62"/>
    <w:rsid w:val="00B670C9"/>
    <w:rsid w:val="00BA0063"/>
    <w:rsid w:val="00BA5335"/>
    <w:rsid w:val="00BC5C87"/>
    <w:rsid w:val="00BD0492"/>
    <w:rsid w:val="00BD4874"/>
    <w:rsid w:val="00BD7C5E"/>
    <w:rsid w:val="00BE35F6"/>
    <w:rsid w:val="00BE5718"/>
    <w:rsid w:val="00BF2A99"/>
    <w:rsid w:val="00BF2CAB"/>
    <w:rsid w:val="00BF727D"/>
    <w:rsid w:val="00C02AFF"/>
    <w:rsid w:val="00C03BC6"/>
    <w:rsid w:val="00C30F52"/>
    <w:rsid w:val="00C34A40"/>
    <w:rsid w:val="00C34CDE"/>
    <w:rsid w:val="00C36315"/>
    <w:rsid w:val="00C439FE"/>
    <w:rsid w:val="00C44649"/>
    <w:rsid w:val="00C44711"/>
    <w:rsid w:val="00C5710F"/>
    <w:rsid w:val="00C61D0E"/>
    <w:rsid w:val="00C663D9"/>
    <w:rsid w:val="00C81884"/>
    <w:rsid w:val="00CC3C5D"/>
    <w:rsid w:val="00CE72D2"/>
    <w:rsid w:val="00CE75AF"/>
    <w:rsid w:val="00CF6A1A"/>
    <w:rsid w:val="00D01324"/>
    <w:rsid w:val="00D30E42"/>
    <w:rsid w:val="00D40089"/>
    <w:rsid w:val="00D5569B"/>
    <w:rsid w:val="00D576A7"/>
    <w:rsid w:val="00D610B9"/>
    <w:rsid w:val="00D63404"/>
    <w:rsid w:val="00D67156"/>
    <w:rsid w:val="00D820F3"/>
    <w:rsid w:val="00D82D39"/>
    <w:rsid w:val="00D831D3"/>
    <w:rsid w:val="00D9659F"/>
    <w:rsid w:val="00D9734E"/>
    <w:rsid w:val="00DA48EF"/>
    <w:rsid w:val="00DB525E"/>
    <w:rsid w:val="00DC295B"/>
    <w:rsid w:val="00DC52BA"/>
    <w:rsid w:val="00DC6378"/>
    <w:rsid w:val="00DD0894"/>
    <w:rsid w:val="00DD20FA"/>
    <w:rsid w:val="00DD60CD"/>
    <w:rsid w:val="00DE479C"/>
    <w:rsid w:val="00DF193F"/>
    <w:rsid w:val="00E03383"/>
    <w:rsid w:val="00E13294"/>
    <w:rsid w:val="00E22BD4"/>
    <w:rsid w:val="00E23A44"/>
    <w:rsid w:val="00E340D1"/>
    <w:rsid w:val="00E4206C"/>
    <w:rsid w:val="00E4368E"/>
    <w:rsid w:val="00E54BDA"/>
    <w:rsid w:val="00E67337"/>
    <w:rsid w:val="00E729AF"/>
    <w:rsid w:val="00E84975"/>
    <w:rsid w:val="00E90791"/>
    <w:rsid w:val="00E90FAC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E5106"/>
    <w:rsid w:val="00EF2E8C"/>
    <w:rsid w:val="00F16112"/>
    <w:rsid w:val="00F33FAE"/>
    <w:rsid w:val="00F34733"/>
    <w:rsid w:val="00F3531B"/>
    <w:rsid w:val="00F36F8C"/>
    <w:rsid w:val="00F50C61"/>
    <w:rsid w:val="00F641EE"/>
    <w:rsid w:val="00F72380"/>
    <w:rsid w:val="00F927DD"/>
    <w:rsid w:val="00F941D2"/>
    <w:rsid w:val="00FB3358"/>
    <w:rsid w:val="00FC2EB9"/>
    <w:rsid w:val="00FD196D"/>
    <w:rsid w:val="00FD3667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ac">
    <w:name w:val="Нет"/>
    <w:rsid w:val="00346A55"/>
  </w:style>
  <w:style w:type="paragraph" w:styleId="ad">
    <w:name w:val="Balloon Text"/>
    <w:basedOn w:val="a"/>
    <w:link w:val="ae"/>
    <w:uiPriority w:val="99"/>
    <w:semiHidden/>
    <w:unhideWhenUsed/>
    <w:rsid w:val="00D6340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63404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8147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2020-09-07T04:06:00Z</cp:lastPrinted>
  <dcterms:created xsi:type="dcterms:W3CDTF">2021-07-01T04:35:00Z</dcterms:created>
  <dcterms:modified xsi:type="dcterms:W3CDTF">2021-11-05T03:45:00Z</dcterms:modified>
</cp:coreProperties>
</file>