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5F422E" w:rsidRPr="00D934C6" w:rsidTr="0067060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671696" w:rsidRDefault="00F54E8C" w:rsidP="00F5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FB7C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895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032E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5F422E" w:rsidRPr="00D934C6" w:rsidTr="0067060B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D934C6" w:rsidRDefault="00F54E8C" w:rsidP="0003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больница» ГУ УЗАО объявляет о начале проведения закупа способом </w:t>
            </w:r>
            <w:r w:rsidR="0066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тендерной документаций 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r w:rsidR="00E2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закуп) по закупу</w:t>
            </w:r>
            <w:r w:rsidR="008A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изделий медицинского назначения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bookmarkEnd w:id="0"/>
    </w:tbl>
    <w:p w:rsidR="002C0CF0" w:rsidRPr="00195EE2" w:rsidRDefault="002C0CF0" w:rsidP="002C0CF0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837" w:type="dxa"/>
        <w:tblLayout w:type="fixed"/>
        <w:tblLook w:val="04A0"/>
      </w:tblPr>
      <w:tblGrid>
        <w:gridCol w:w="534"/>
        <w:gridCol w:w="1701"/>
        <w:gridCol w:w="4394"/>
        <w:gridCol w:w="425"/>
        <w:gridCol w:w="567"/>
        <w:gridCol w:w="1134"/>
        <w:gridCol w:w="1082"/>
      </w:tblGrid>
      <w:tr w:rsidR="009F620C" w:rsidRPr="005722B8" w:rsidTr="005722B8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CF0" w:rsidRPr="005722B8" w:rsidRDefault="002C0CF0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5722B8" w:rsidRDefault="002C0CF0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5722B8" w:rsidRDefault="002C0CF0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Характеристика </w:t>
            </w:r>
            <w:r w:rsidR="00315D00" w:rsidRPr="005722B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изделия медицинского назначения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5722B8" w:rsidRDefault="002C0CF0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5722B8" w:rsidRDefault="002C0CF0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5722B8" w:rsidRDefault="002C0CF0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5722B8" w:rsidRDefault="002C0CF0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FC4DE5" w:rsidRPr="005722B8" w:rsidTr="005722B8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E5" w:rsidRPr="005722B8" w:rsidRDefault="007D28CC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DE5" w:rsidRPr="005722B8" w:rsidRDefault="00223B99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</w:rPr>
              <w:t>Набор дренажей для абдоминальных операций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B99" w:rsidRPr="005722B8" w:rsidRDefault="00223B99" w:rsidP="00223B99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ДРЕНАЖ ТИПА «РЕДОН» с портом для ирригации- 5 шт. Дренаж типа «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Редон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» с портом для ирригации используется в хирургии и травматологии для пассивного и активного дренирования и промывания полостей и послеоперационных ран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−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зготовлено из прозрачного термопластичного нетоксичного поливинилхлорида; − двухканальная трубка; − длина 500 мм; −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 основного канала; − канюля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 порта для ирригации; − открытый дистальный конец; − перфорация дистального конца на протяжении 75 мм; −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Диаметр 8,0 Размер 24 Длина 500 мм.</w:t>
            </w:r>
          </w:p>
          <w:p w:rsidR="00895BD6" w:rsidRPr="005722B8" w:rsidRDefault="00223B99" w:rsidP="00223B99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Дренаж типа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Ульмера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портом для ирригации- 5 шт. Этот тип дренажа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Ульмера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обеспечивает равномерную эвакуацию раневого отделяемого с одновременной возможностью введения лекарственных или антисептических средств непосредственно в зону дренирования. Дополнительный порт для ирригации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стабильный уровень давления в трубке ,полоса Rn-контроля по всей длине , оптимальная зона перфорации – 75 мм , канюля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ирригационном канале , универсальный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 цветовая кодировка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адаптера,стерилизовано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оксидом этилена. Диаметр 8,0 Размер 24 Длина 500 мм. Дренаж типа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Ульмера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портом для ирригации- 5 шт. Этот тип дренажа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Ульмера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обеспечивает равномерную эвакуацию раневого отделяемого с одновременной возможностью введения лекарственных или антисептических средств непосредственно в зону дренирования. Дополнительный порт для ирригации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стабильный уровень давления в трубке ,полоса Rn-контроля по всей длине , оптимальная зона перфорации – 75 мм , канюля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ирригационном канале , универсальный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 цветовая кодировка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адаптера,стерилизовано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оксидом этилена. Диаметр 100 Размер 30 Длина 500 мм.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Дренаж Шлицевой с портом для ирригации)-5шт.. Дренаж шлицевой с дополнительным портом для ирригации позволяет производить промывание гнойной раны или полости одновременно с дренированием экссудата.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Удлиненные отверстия шлицевого дренажа способствуют лучшему оттоку жидкости, полоса Rn-контроля по всей длине, перфорация в виде удлиненных отверстий ,зона перфорации – 100 мм .  Дополнительный порт для ирригации ,универсальный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цветовая кодировка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адаптера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иаметр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8,0 Размер 24 Длина 500 мм.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Дренаж Шлицевой с портом для ирригации)-5шт.. Дренаж шлицевой с дополнительным портом для ирригации позволяет производить промывание гнойной раны или полости одновременно с дренированием экссудата.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Удлиненные отверстия шлицевого дренажа способствуют лучшему оттоку жидкости, полоса Rn-контроля по всей длине, перфорация в виде удлиненных отверстий ,зона перфорации – 100 мм .  Дополнительный порт для ирригации ,универсальный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цветовая кодировка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адаптера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иаметр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10,0 Размер 30 Длина 500 мм. ДРЕНАЖ ПРОФИЛЬНЫЙ СЛАБИНСКОГО (БЛЭЙКА)- 5шт. Дренаж профильный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Слабинского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Блэйка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) используется в хирургии и травматологии для пассивного и активного дренирования рани полостей. Открытость четырех каналов на дистальном конце препятствует обтюрации их просветов сгустками крови и раневым содержимым. Трубчатый центральный канал позволяет вводить растворы медикаментов в зону дренирования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−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зготовлено из прозрачного термопластичного нетоксичного поливинилхлорида; − пятиканальная трубка; − длина 500 мм; −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− четыре канала продольно вскрыты на протяжении 250 мм от дистального конца; − дополнительный трубчатый </w:t>
            </w: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центральный канал; −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Диаметр 8,0 Размер 24 Длина 500. ДРЕНАЖ ПРОФИЛЬНЫЙ СЛАБИНСКОГО (БЛЭЙКА) - 2 шт. Дренаж профильный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Слабинского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Блэйка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) используется в хирургии и травматологии для пассивного и активного дренирования рани полостей. Открытость четырех каналов на дистальном конце препятствует обтюрации их просветов сгустками крови и раневым содержимым. Трубчатый центральный канал позволяет вводить растворы медикаментов в зону дренирования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−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зготовлено из прозрачного термопластичного нетоксичного поливинилхлорида; − пятиканальная трубка; − длина 500 мм; −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− четыре канала продольно вскрыты на протяжении 250 мм от дистального конца; − дополнительный трубчатый центральный канал; −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Диаметр 10,0 Размер  30,Длина 500. Набор дренажный для операций (мягкая вакуумная система)  - 2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абор дренажей для  операций имеет  гофрированную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рентгенконтрастную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ленту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 Дренирование брюшины после операции на брюшной полости с помощью этой дренажной системы является лучшим методом профилактики воспалительного процесса. Применение специально разработанного набора дренажей способствует эффективному оттоку раневого содержимого и скорейшему заживлению раны. Диаметр 3,0; Длина 250 мм Размеры 9 . СИЛЬФОН-ГАРМОШКА -- 5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ИЛЬФОН-ГАРМОШКА ДЛЯ АСПИРАЦИИ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Сильфон-гармошка используется для аспирации раневого содержимого при активном низковакуумном дренировании ран и полостей. изготовлено из прозрачного термопластичного нетоксичного полимера; гофрированная емкость объемом 50 мл;  рабочий конец в виде конуса под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  имеет петли для подвешивания;  стерилизовано оксидом этилена. Гофрированная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мм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ильфон-гармошки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объемом  350 мл ЗОНД ИНТУБАЦИОННЫЙ ДЛЯ ДРЕНИРОВАНИЯ ТОНКОГО КИШЕЧНИКА  (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трансназальный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с дополнительным клапаном для ирригации (зонд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Шалькова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- 1 шт.Зонд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интубационный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дополнительным каналом для ирригации используется в хирургии брюшной полости для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трансназального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дренирования и орошения тонкого кишечника по методу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Миллера-Эббота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Зонд вводится в кишечник во время операции и используется для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интероперацийнной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продолженной декомпенсации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зготовлен из прозрачного термопластичного нетоксичного полимера; трехканальная трубка; с дополнительный канал для ирригации;  закрытый дистальный конец закругленной формы; перфорация дистального конца на протяжении 105 мм;  два надувных баллона в зоне перфорации;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канюли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проксимальных концах каналов для ирригации и надувания баллонов; -стерилизовано оксидом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этилена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6.0 размер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Fr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 мл длина 2500. ЗОНД ИНТУБАЦИОННЫЙ ДЛЯ ДРЕНИРОВАНИЯ ТОНКОГО КИШЕЧНИКА  (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трансназальный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с дополнительным клапаном для ирригации (зонд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Шалькова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- 1 шт. Зонд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интубационный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дополнительным каналом для ирригации используется в хирургии брюшной полости для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трансназального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дренирования и орошения тонкого кишечника по методу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Миллера-Эббота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Зонд вводится в кишечник во время операции и используется для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интероперацийнной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продолженной декомпенсации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зготовлен из прозрачного термопластичного нетоксичного полимера; трехканальная трубка; с дополнительный канал для ирригации;  закрытый дистальный конец закругленной формы; перфорация дистального конца на протяжении 105 мм;  два надувных баллона в зоне перфорации;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канюли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проксимальных концах каналов для ирригации и надувания баллонов; -стерилизовано оксидом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этилена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6.0 размер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Fr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 мл длина 3000. ЗОНД ИНТУБАЦИОННЫЙ ДЛЯ ДРЕНИРОВАНИЯ ТОНКОГО КИШЕЧНИКА  (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трансназальный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с дополнительным клапаном для ирригации (зонд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Шалькова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- 1 шт. Зонд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интубационный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дополнительным каналом для ирригации используется в </w:t>
            </w: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хирургии брюшной полости для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трансназального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дренирования и орошения тонкого кишечника по методу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Миллера-Эббота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Зонд вводится в кишечник во время операции и используется для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интероперацийнной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продолженной декомпенсации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зготовлен из прозрачного термопластичного нетоксичного полимера; трехканальная трубка; с дополнительный канал для ирригации;  закрытый дистальный конец закругленной формы; перфорация дистального конца на протяжении 105 мм;  два надувных баллона в зоне перфорации;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канюли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проксимальных концах каналов для ирригации и надувания баллонов; -стерилизовано оксидом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этилена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6.0 размер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Fr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 мл длина 3500. ЗОНД ИНТУБАЦИОННЫЙ ДЛЯ ДРЕНИРОВАНИЯ КИШЕЧНИКА (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трансректальный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 (зонд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Шалькова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)- 1 шт. Зонд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интубационный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трансректальный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используется в хирургии брюшной полости для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трансректального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дренирования кишечника по методу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Миллера-Эббота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Зонд вводится в кишечник во время операции и используется для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интероперацийнной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продолженной декомпенсации. Изготовлен из прозрачного термопластичного нетоксичного полимера, двухканальная трубка; закрытый дистальный конец закругленной формы; перфорация дистального конца на протяжении 105 мм;  два надувных баллона в зоне перфорации;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 канюля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 канала для надувания баллонов; стерилизовано оксидом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этилена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7.0 размер Fr21 длина 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DE5" w:rsidRPr="005722B8" w:rsidRDefault="00223B99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DE5" w:rsidRPr="005722B8" w:rsidRDefault="00223B99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DE5" w:rsidRPr="005722B8" w:rsidRDefault="00223B99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 w:eastAsia="ru-RU"/>
              </w:rPr>
              <w:t>737612,8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E5" w:rsidRPr="005722B8" w:rsidRDefault="00223B99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 w:eastAsia="ru-RU"/>
              </w:rPr>
              <w:t>14 752 256,00</w:t>
            </w:r>
          </w:p>
        </w:tc>
      </w:tr>
      <w:tr w:rsidR="00223B99" w:rsidRPr="005722B8" w:rsidTr="005722B8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99" w:rsidRPr="005722B8" w:rsidRDefault="00223B99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3B99" w:rsidRPr="005722B8" w:rsidRDefault="00223B99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5722B8">
              <w:rPr>
                <w:rFonts w:ascii="Times New Roman" w:hAnsi="Times New Roman"/>
                <w:b/>
                <w:sz w:val="16"/>
                <w:szCs w:val="16"/>
              </w:rPr>
              <w:t xml:space="preserve">Набор дренажей для </w:t>
            </w:r>
            <w:proofErr w:type="spellStart"/>
            <w:r w:rsidRPr="005722B8">
              <w:rPr>
                <w:rFonts w:ascii="Times New Roman" w:hAnsi="Times New Roman"/>
                <w:b/>
                <w:sz w:val="16"/>
                <w:szCs w:val="16"/>
              </w:rPr>
              <w:t>торокальных</w:t>
            </w:r>
            <w:proofErr w:type="spellEnd"/>
            <w:r w:rsidRPr="005722B8">
              <w:rPr>
                <w:rFonts w:ascii="Times New Roman" w:hAnsi="Times New Roman"/>
                <w:b/>
                <w:sz w:val="16"/>
                <w:szCs w:val="16"/>
              </w:rPr>
              <w:t xml:space="preserve"> операций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B99" w:rsidRPr="005722B8" w:rsidRDefault="00223B99" w:rsidP="00223B99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РЕНАЖ ТИПА «РЕДОН» (адаптер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) - 5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ренаж типа «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Редон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(адаптер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используется в хирургии и травматологии для пассивного и активного дренирования полостей и послеоперационных ран. Изготовлен из прозрачного термопластичного нетоксичного поливинилхлорида, 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 открытый дистальный конец;  перфорация дистального конца на протяжении 75 мм; 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 гофрированная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мм. Стерилизовано оксидом этилена. Диаметр 8,0 Размер 24. Длина 500 мм. ДРЕНАЖ ТИПА «РЕДОН» (адаптер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) - 5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ренаж типа «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Редон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(адаптер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используется в хирургии и травматологии для пассивного и активного дренирования полостей и послеоперационных ран. Изготовлен из прозрачного термопластичного нетоксичного поливинилхлорида, 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 открытый дистальный конец;  перфорация дистального конца на протяжении 75 мм; 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 гофрированная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мм. Стерилизовано оксидом этилена. Диаметр 10,0 Размер 30. Длина 500 мм. ДРЕНАЖ ТИПА «РЕДОН» (адаптер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) - 5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ренаж типа «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Редон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(адаптер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используется в хирургии и травматологии для пассивного и активного дренирования полостей и послеоперационных ран. Изготовлен из прозрачного термопластичного нетоксичного поливинилхлорида, 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 открытый дистальный конец;  перфорация дистального конца на протяжении 75 мм; 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 гофрированная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мм. Стерилизовано оксидом этилена. Диаметр 10,0 Размер 30. Длина 500 мм. Дренаж типа "РЕДОН"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пластиковым троакаром ) - 5 шт. ДРЕНАЖ ТИПА «РЕДОН» с пластиковым троакаром и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Дренаж типа «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Редон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с пластиковым троакаром используется в хирургии и травматологии для пассивного и активного дренирования полостей и послеоперационных ран. Троакар позволяет ввести дренаж без предварительного рассечения тканей. Изготовлен из прозрачного термопластичного нетоксичного поливинилхлорида;  жесткий полимерный троакар; три метки длины;  открытый дистальный конец;  перфорация дистального конца на протяжении 75 мм; 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трубки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;г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офрированная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мм. стерилизовано оксидом этилена. Диаметр 6,0 Размер 18 Длина 700. Дренаж типа "РЕДОН"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пластиковым троакаром ) - 5 шт. ДРЕНАЖ ТИПА «РЕДОН» с пластиковым троакаром и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Дренаж типа «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Редон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с пластиковым троакаром используется в хирургии и травматологии для пассивного и активного дренирования полостей и послеоперационных ран. Троакар позволяет ввести дренаж без предварительного рассечения тканей. Изготовлен из прозрачного термопластичного нетоксичного поливинилхлорида;  жесткий полимерный троакар; три метки длины;  открытый дистальный конец;  перфорация дистального конца на протяжении 75 мм; 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трубки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;г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офрированная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мм. стерилизовано оксидом этилена. Диаметр 8,0. Размер 30. Длина 700. Дренаж  ПРОФИЛЬНЫЙ СЛАБИНСКОГО (БЛЕЙКА) - 2 шт. ДРЕНАЖ ПРОФИЛЬНЫЙ СЛАБИНСКОГО (БЛЭЙКА) Дренаж профильный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Слабинского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Блэйка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) используется в хирургии и травматологии для пассивного и активного дренирования рани полостей. Открытость четырех каналов на дистальном конце препятствует обтюрации их просветов сгустками крови и раневым содержимым. Трубчатый центральный канал позволяет вводить растворы медикаментов в зону дренирования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−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зготовлено из прозрачного термопластичного нетоксичного поливинилхлорида; − пятиканальная трубка; − длина 500 мм; −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− четыре канала продольно вскрыты на протяжении 250 мм от дистального конца; − дополнительный трубчатый центральный канал; −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Диаметр 4,0 Размер 12 Длина 700. Дренаж  ПРОФИЛЬНЫЙ СЛАБИНСКОГО (БЛЕЙКА) - 2 шт. ДРЕНАЖ ПРОФИЛЬНЫЙ СЛАБИНСКОГО (БЛЭЙКА) Дренаж профильный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Слабинского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Блэйка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) используется в хирургии и травматологии для пассивного и активного дренирования рани полостей. Открытость четырех каналов на дистальном конце препятствует обтюрации их просветов сгустками крови и раневым содержимым. Трубчатый центральный канал позволяет вводить растворы медикаментов в зону дренирования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−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зготовлено из прозрачного термопластичного нетоксичного поливинилхлорида; − пятиканальная трубка; − длина 500 мм; −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− четыре канала продольно вскрыты на протяжении 250 мм от дистального конца; − дополнительный трубчатый центральный канал; −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Диаметр 5,0 Размер 15 Длина 700. Дренаж  ПРОФИЛЬНЫЙ СЛАБИНСКОГО (БЛЕЙКА)  - 2 шт. Дренаж  ПРОФИЛЬНЫЙ СЛАБИНСКОГО (БЛЕЙКА) с пластиковым троакаром используется в хирургии и травматологии для пассивного и активного дренирования рани полостей. Открытость четырех каналов на дистальном конце препятствует обтюрации их просветов сгустками крови и раневым содержимым. Трубчатый центральный канал позволяет вводить растворы медикаментов в зону дренирования. Пятиканальная трубка изготовлена из прозрачного термопластичного нетоксичного поливинилхлорида; 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 четыре канала продольно вскрыты на протяжении 250 мм от дистального конца; дополнительный трубчатый центральный канал; 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Диаметр .0.6 , размер 18,длина  700 мм. Дренаж  ПРОФИЛЬНЫЙ СЛАБИНСКОГО (БЛЕЙКА)  - 2 шт. Дренаж  ПРОФИЛЬНЫЙ СЛАБИНСКОГО (БЛЕЙКА) с пластиковым троакаром используется в хирургии и травматологии для пассивного и активного дренирования рани полостей. Открытость четырех каналов на дистальном конце препятствует обтюрации их просветов сгустками крови и раневым содержимым. Трубчатый центральный канал позволяет вводить растворы медикаментов в зону дренирования. Пятиканальная трубка изготовлена из прозрачного термопластичного нетоксичного поливинилхлорида; 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 </w:t>
            </w: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четыре канала продольно вскрыты на протяжении 250 мм от дистального конца; дополнительный трубчатый центральный канал; 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Диаметр 8.0 размер  24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длина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700. Набор дренажный для операций (мягкая вакуумная система)  - 2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абор дренажей для  операций имеет  гофрированную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рентгенконтрастную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ленту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Дренирование брюшины после операции на брюшной полости с помощью этой дренажной системы является лучшим методом профилактики воспалительного процесса. Применение специально разработанного набора дренажей способствует эффективному оттоку раневого содержимого и скорейшему заживлению раны. Диаметр 4,0; Длина 250 мм Размеры 12. Удлинитель дренажей (ЖАНЭ-ЖАНЭ) 2 шт. Удлинитель дренажей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Жанэ-Жанэ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этот удлинитель предназначен для удобного подсоединения хирургических дренажей с адаптером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</w:t>
            </w:r>
            <w:proofErr w:type="spellStart"/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сильфон-гармошке</w:t>
            </w:r>
            <w:proofErr w:type="spellEnd"/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или емкости для сбора жидкости. Прозрачная ПВХ трубка длиной 1000мм с адаптером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коннектор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виде штуцера ("елочка"); высокая стойкость к изломам и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перегибам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иаметром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8,0 , Размер 24; длина 1000мм. Удлинитель дренажей (ЖАНЭ-ЖАНЭ) 2 шт. Удлинитель дренажей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Жанэ-Жанэ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этот удлинитель предназначен для удобного подсоединения хирургических дренажей с адаптером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</w:t>
            </w:r>
            <w:proofErr w:type="spellStart"/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сильфон-гармошке</w:t>
            </w:r>
            <w:proofErr w:type="spellEnd"/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или емкости для сбора жидкости. Прозрачная ПВХ трубка длиной 1000мм с адаптером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коннектор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виде штуцера ("елочка"); высокая стойкость к изломам и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перегибам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иаметром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10,0 , Размер 30; длина 1000мм. Удлинитель дренажей (ЛЮЭР-ЖАНЭ) - 2 шт. Данный тип удлинителя предназначен для подключения хирургических дренажей с адаптером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аспирационному устройству или емкости для сбора жидкости. Удлинитель снабжен накидной гайкой, позволяющей подсоединить дренаж, не проворачивая его трубку. Прозрачная ПВХ трубка длиной 1000 мм • Универсальный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 • Штуцер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накидной гайкой на дистальном конце. Диаметр 4,0 мм, Размер 12, длина 1000мм. СИЛЬФОН-ГАРМОШКА -- 5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ИЛЬФОН-ГАРМОШКА ДЛЯ АСПИРАЦИИ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Сильфон-гармошка используется для аспирации раневого содержимого при активном низковакуумном дренировании ран и полостей. изготовлено из прозрачного термопластичного нетоксичного полимера; гофрированная емкость объемом 50 мл;  рабочий конец в виде конуса под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  имеет петли для подвешивания;  стерилизовано оксидом этилена. Гофрированная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мм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ильфон-гармошки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объемом  150 мл</w:t>
            </w:r>
          </w:p>
          <w:p w:rsidR="00223B99" w:rsidRPr="005722B8" w:rsidRDefault="00223B99" w:rsidP="00223B99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Дренаж торакальный (на металлическом стилете-троакаре ) - 1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РЕНАЖ ТОРАКАЛЬНЫЙ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(на металлическом стилете-троакаре)  используется в торакальной хирургии для пассивного и активного дренирования плевральной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полостис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целью удаления крови, отделяемого и избыточного воздуха. − изготовлено из прозрачного термопластичного нетоксичного поливинилхлорида;; −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− открытый дистальный конец конусной формы; − перфорация дистального конца в форме удлиненных отверстий; −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стилет-троакар из нержавеющей стали медицинского назначения; − полимерная ручка на проксимальном конце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стилетатроакара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− стерилизовано оксидом этилена. Гофрированная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мм. Диаметр 7,3. Размер 22 Длина 350. Дренаж торакальный (на металлическом стилете-троакаре ) - 1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РЕНАЖ ТОРАКАЛЬНЫЙ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(на металлическом стилете-троакаре)  используется в торакальной хирургии для пассивного и активного дренирования плевральной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полостис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целью удаления крови, отделяемого и избыточного воздуха. − изготовлено из прозрачного термопластичного нетоксичного поливинилхлорида;; −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− открытый дистальный конец конусной формы; − перфорация дистального конца в форме </w:t>
            </w: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удлиненных отверстий; −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стилет-троакар из нержавеющей стали медицинского назначения; − полимерная ручка на проксимальном конце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стилетатроакара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− стерилизовано оксидом этилена. Гофрированная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мм. Диаметр 8,0. Размер 24 Длина 350. Дренаж торакальный (на металлическом стилете-троакаре ) - 1 шт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РЕНАЖ ТОРАКАЛЬНЫЙ с гофрированной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(на металлическом стилете-троакаре)  используется в торакальной хирургии для пассивного и активного дренирования плевральной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полостис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целью удаления крови, отделяемого и избыточного воздуха. − изготовлено из прозрачного термопластичного нетоксичного поливинилхлорида;; − адаптер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конце; − открытый дистальный конец конусной формы; − перфорация дистального конца в форме удлиненных отверстий; −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вдоль трубки; − стилет-троакар из нержавеющей стали медицинского назначения; − полимерная ручка на проксимальном конце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стилетатроакара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− стерилизовано оксидом этилена. Гофрированная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полоса изготовлена из ПВХ, длина 100 мм, ширина 10 мм. Диаметр 10,0. Размер 30. Длина 350. ДЕКОМПРЕССИОННАЯ ИГЛА ДЛЯ ПРЕВРАЛЬНОЙ ПОЛОСТИ - 1 шт.  Игла незаменима для предоставления первой медицинской помощи при напряженном пневмотораксе на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догоспитальном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этапе.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Изготовлена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из нержавеющей стали медицинского назначения. Длина рабочей части иглы 110 мм. Заточка рабочего конца “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Квинке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”.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полимерный катетер 80 мм. Открытый дистальный конец конусной формы. Канюля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конце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2,0, Размер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Fr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15, Длина 110. ДЕКОМПРЕССИОННАЯ ИГЛА ДЛЯ ПРЕВРАЛЬНОЙ ПОЛОСТИ - 1 шт. Игла незаменима для предоставления первой медицинской помощи при напряженном пневмотораксе на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догоспитальном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этапе.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Изготовлена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из нержавеющей стали медицинского назначения. Длина рабочей части иглы 110 мм. Заточка рабочего конца “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Квинке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”.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Рентгенконтрастный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полимерный катетер 80 мм. Открытый дистальный конец конусной формы. Канюля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конце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2,5, Размер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Fr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13, Длина 110. Зонд-дренаж плевральной полости - 5 шт. Зонд-дренаж плевральной полости значительно дольше сохраняет свои дренирующие свойства в сравнении с обычным торакальным дренажом. Комплект из  двух трубок специально подобранных размеров: различной длины и диаметра. В просвет большой трубки диаметром 11,0 и длиной 400 мм, введена трубка меньшего диаметра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7,0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но большей длины 500 мм. </w:t>
            </w:r>
            <w:proofErr w:type="gram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Эффективные</w:t>
            </w:r>
            <w:proofErr w:type="gram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дренирующие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отверствия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коннектор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проксимальном конце, стерилизовано оксидом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этиленаДдиам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7,0/11.0, Размер </w:t>
            </w:r>
            <w:proofErr w:type="spellStart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Fr</w:t>
            </w:r>
            <w:proofErr w:type="spellEnd"/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21/33, Длина 500/400.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3B99" w:rsidRPr="005722B8" w:rsidRDefault="00223B99" w:rsidP="00223B99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3B99" w:rsidRPr="005722B8" w:rsidRDefault="00223B99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3B99" w:rsidRPr="005722B8" w:rsidRDefault="00223B99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 w:eastAsia="ru-RU"/>
              </w:rPr>
              <w:t>946656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99" w:rsidRPr="005722B8" w:rsidRDefault="00223B99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 w:eastAsia="ru-RU"/>
              </w:rPr>
              <w:t>18 933 120,00</w:t>
            </w:r>
          </w:p>
        </w:tc>
      </w:tr>
      <w:tr w:rsidR="000A1072" w:rsidRPr="005722B8" w:rsidTr="005722B8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72" w:rsidRPr="005722B8" w:rsidRDefault="000A1072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1072" w:rsidRPr="005722B8" w:rsidRDefault="000A1072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Набор дренажей для операций на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холедохе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ЖКТ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72" w:rsidRPr="005722B8" w:rsidRDefault="000A1072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Дренаж типа "РЕДОН" - 5 шт.   ДРЕНАЖ ТИПА «РЕДОН» с гофрированной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Дренаж типа «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Редон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 используется в хирургии и травматологии для пассивного и активного дренирования полостей и послеоперационных ран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−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зготовлено из прозрачного термопластичного нетоксичного поливинилхлорида; − длина 500 мм; − открытый дистальный конец; − перфорация дистального конца на протяжении 75 мм; −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Гофрированная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иаметр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8,0 мм, размер 24, длина 500 мм. Дренаж типа "РЕДОН" - 5 шт.   ДРЕНАЖ ТИПА «РЕДОН» с гофрированной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Дренаж типа «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Редон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 используется в хирургии и травматологии для пассивного и активного дренирования полостей и послеоперационных ран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−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зготовлено из прозрачного термопластичного нетоксичного поливинилхлорида; − длина 500 мм; − открытый дистальный конец; − перфорация дистального конца на протяжении 75 мм; −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вдоль трубки; − стерилизовано оксидом этилена. Гофрированная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иаметр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10,0 мм, размер 30, длина </w:t>
            </w: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500 мм.  Дренаж типа СПИРАЛЬ  (адаптер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Жанэ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 - 5 шт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ренаж типа Спираль с гофрированной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.Высокую эффективность дренажа типа «Спираль» обеспечивают дренирующие отверстия, расположенные по спирали, благодаря чему удается избежать сквозного прорастания тканей. Эта особенность позволяет сохранить стабильную интенсивность дренирования на протяжении длительного периода. • Спиральная конфигурация дренирующих отверстий •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• Увеличенная зона перфорации – 150 мм • Универсальный адаптер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Жанэ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Цветовая кодировка адаптера • Длина дренажа – 500 мм • Широкий выбор размеров. Гофрированная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мм. Диам.8,0.Размер 24. Длина 500 мм. Дренаж типа СПИРАЛЬ  (адаптер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Жанэ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 - 5 шт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ренаж типа Спираль с гофрированной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.Высокую эффективность дренажа типа «Спираль» обеспечивают дренирующие отверстия, расположенные по спирали, благодаря чему удается избежать сквозного прорастания тканей. Эта особенность позволяет сохранить стабильную интенсивность дренирования на протяжении длительного периода. • Спиральная конфигурация дренирующих отверстий •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• Увеличенная зона перфорации – 150 мм • Универсальный адаптер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Жанэ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Цветовая кодировка адаптера • Длина дренажа – 500 мм • Широкий выбор размеров. Гофрированная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мм. Диам.10,0.Размер 30. Длина 500 мм.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Дренаж типа «ПИКОВСКОГО»   2 шт. Дренаж типа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Пиковского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используется в хирургии желчных протоков для внешнего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дренирование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холедоха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 изготовлено из прозрачного термопластичного нетоксичного полимера;  длина 415 мм; диаметр 3,0 мм;  открытый дистальный конец конусной формы;  боковые дренажные отверстия на дистальном конце; два кольца-остова на расстоянии 33 мм от дистального конца;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перфорация дистального конца на протяжении 75 мм; 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вдоль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иам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3.0 . Размер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9 . Длина 415мм. Удлинитель дренажа типа 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Пиковского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- 2 шт. Удлинитель с зажимной канюлей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Люэра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проксимального конца для Дренажа типа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Пиковского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4,0. Размер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12, длина 1000мм. Одношаговый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катетр-дренаж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игле ХИБА  (заточка " карандаш") - 1 шт. Одношаговый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катетр-дренаж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игле ХИБА типа «свиной хвост» (заточка " карандаш") применяется для наружн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внутреннего дренирования желчных протоков. • Специальный стальной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мандрен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Удобная канюля-держатель для контроля введения иглы • Рабочий конец катетера типа «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пигтейл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 • Трубка-выпрямитель для надевания катетера на иглу • Множественные дренирующие отверстия кончика «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пигтейл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• Эластичный кожный фиксатор Диаметр 3,0; </w:t>
            </w: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Размер 9,0; Длина 300 мм. Одношаговый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катетр-дренаж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игле ХИБА  (заточка " карандаш") - 1 шт. Одношаговый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катетр-дренаж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игле ХИБА типа «свиной хвост» (заточка " карандаш") применяется для наружн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внутреннего дренирования желчных протоков. • Специальный стальной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мандрен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Удобная канюля-держатель для контроля введения иглы • Рабочий конец катетера типа «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пигтейл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 • Трубка-выпрямитель для надевания катетера на иглу Множественные дренирующие отверстия кончика «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пигтейл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• Эластичный кожный фиксатор Диаметр 3,3; </w:t>
            </w: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Размер 10,0; Длина 300 мм. Одношаговый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катетр-дренаж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игле ХИБА  (заточка " карандаш") - 1 шт. Одношаговый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катетр-дренаж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игле ХИБА типа «свиной хвост» (заточка " карандаш") применяется для наружн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внутреннего дренирования желчных протоков. • Специальный стальной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мандрен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Удобная канюля-держатель для контроля введения иглы • Рабочий конец катетера типа «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пигтейл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» • Трубка-выпрямитель для надевания катетера на иглу • Множественные дренирующие отверстия кончика «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пигтейл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• Эластичный кожный фиксатор Диаметр 4,0; </w:t>
            </w: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Размер 12,0; Длина 300 мм. Комплект 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дренирования желчных протоков  ПО МЕТОДУ СЕЛЬДИНГЕРА 1 шт. Комплект 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дренирования предназначен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выполения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холангиостомии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методу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Сельдингера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 Комплект состоит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ункционная игла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Хиба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; Расширители-бужи; Тросовый проводник с гибким концом; Катетер типа «свиной хвостик» множеством дренирующих отверстий диаметром до 1 мм; Одноходовой краник; Удлинитель дренажа; Кожный фиксатор из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гипоаллергенного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материала; Инъекционный узел для подачи препаратов. Дренаж снабжен специальным удлинителем. Диаметр 3,0, Размер 9, Длина 300 мм. Комплект 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дренирования желчных протоков  ПО МЕТОДУ СЕЛЬДИНГЕРА 1 шт. Комплект 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дренирования предназначен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выполения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холангиостомии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методу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Сельдингера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 Комплект состоит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ункционная игла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Хиба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; Расширители-бужи; Тросовый проводник с гибким концом; Катетер типа «свиной хвостик» множеством дренирующих отверстий диаметром до 1 мм; Одноходовой краник; Удлинитель дренажа; Кожный фиксатор из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гипоаллергенного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материала; Инъекционный узел для подачи препаратов. Дренаж снабжен специальным удлинителем. Диаметр 3,3, Размер 10,0 Длина 300 мм.</w:t>
            </w: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Комплект 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дренирования желчных протоков  ПО МЕТОДУ СЕЛЬДИНГЕРА 1 шт. Комплект 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дренирования предназначен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выполения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чрескожной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чреспеченочной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холангиостомии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методу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Сельдингера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 Комплект состоит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ункционная игла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Хиба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; Расширители-бужи; Тросовый проводник с гибким концом; Катетер типа «свиной хвостик» множеством дренирующих отверстий диаметром до 1 мм; Одноходовой краник; Удлинитель дренажа; Кожный фиксатор из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гипоаллергенного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материала; Инъекционный узел для подачи препаратов. Дренаж снабжен специальным удлинителем. Диаметр 4,0, Размер 12,0 Длина 300 мм.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Холедохолитоэкстрактор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- 1 шт.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Баллонный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холедохолитоэкстрактор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удаления небольших конкрементов из желчных протоков. Полиэтиленовая трубка длиной 420 мм. Закругленный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конец.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Рентгенконтрастность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всей длине. Специальные метки на шине катетера. Латексный баллон на дистальном конце. Диаметр 2,0 Размер 6 Объем баллона до 2,5 мл Длина 420 мм.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Холедохолитоэкстрактор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- 1 шт.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Баллонный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холедохолитоэкстрактор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удаления небольших конкрементов из желчных протоков. Полиэтиленовая трубка длиной 420 мм. Закругленный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конец.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Рентгенконтрастность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всей длине. Специальные метки на шине катетера. Латексный баллон на дистальном конце. Диаметр 2,7 Размер 8 Объем баллона до 3,7 мл Длина 420 мм. ДРЕНАЖ типа НАГАРАДЖА (ДЛЯ ЭНДОСКОПИЧЕСКОГО ВВЕДЕНИЯ) -1 шт. Дренаж типа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Нагараджа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(для эндоскопического введения) предназначен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трансназального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эндоскопического введения. Полиэтиленовая трубка длиной 2500 мм Рабочий конец сформирован под конус,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атравматичен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желчных протоков.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Сделан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материала.  Оптимальное количество боковых дренирующих отверстий по всей длине дренажа – 24. Стерильно. Размер – 6, Диаметр – 2,0 мм Зонд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энтерального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питания (с зондом-пилотом) - 1 шт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тот зонд предназначен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интероперационного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введения. Его конструкция позволяет осуществить аспирацию содержимого желудка и ввести зонд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энтерального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питания в 12-перстную кишку и тонкий кишечник, захватив ребристую оливу через стенку кишки. Диаметр 3,0 мм Размер 9,0 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Длинна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1500 мм. Зонд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 кишечный универсальный (ЗОНД САЕНКО) -  1 шт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онд желудочно-кишечный универсальный (Зонд Саенко) для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наружно-внутреннего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дренирования желудочно-кишечного тракта и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энтерального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питания </w:t>
            </w:r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пациента после операции Бильрот-1 и других видов оперативных вмешательств. • Состоит из двух соединенных полимерных трубок</w:t>
            </w:r>
            <w:proofErr w:type="gram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О</w:t>
            </w:r>
            <w:proofErr w:type="gram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беспечивает дренирование 12-перстной кишки и желудка •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Рентгеноконтрастная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перетяжка • Два остова, препятствующих миграции зонда • Зажимные канюли </w:t>
            </w:r>
            <w:proofErr w:type="spellStart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Люэра</w:t>
            </w:r>
            <w:proofErr w:type="spellEnd"/>
            <w:r w:rsidRPr="000A10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Металлический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1072" w:rsidRPr="005722B8" w:rsidRDefault="000A1072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1072" w:rsidRPr="005722B8" w:rsidRDefault="000A1072" w:rsidP="008A448A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A1072" w:rsidRPr="000A1072" w:rsidRDefault="000A1072" w:rsidP="001F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913339,2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072" w:rsidRPr="000A1072" w:rsidRDefault="000A1072" w:rsidP="001F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18266784</w:t>
            </w:r>
          </w:p>
        </w:tc>
      </w:tr>
      <w:tr w:rsidR="005722B8" w:rsidRPr="005722B8" w:rsidTr="005722B8">
        <w:trPr>
          <w:trHeight w:val="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8" w:rsidRPr="005722B8" w:rsidRDefault="005722B8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B8" w:rsidRPr="005722B8" w:rsidRDefault="005722B8" w:rsidP="001F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Набор дренажей для сосудистых операций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2B8" w:rsidRPr="005722B8" w:rsidRDefault="005722B8" w:rsidP="001F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Дренаж ШЛИЦЕВОЙ  - 5 шт. Дренаж Шлицевой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Благодаря увеличенным отверстиям удлиненной формы дренаж Шлицевой значительно более эффективен по сравнению с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Редоном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Его дренирующие отверстия более стойки к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что увеличивает сроки его продуктивного функционирования. • Полоса Rn-контроля по всей длине • Перфорация в виде удлиненных отверстий. • Зона перфорации – 100 мм • Длина дренажа – 500 мм • Набор наиболее применяемых размеров • Универсальный адаптер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Цветовая кодировка адаптера.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6.0.Размер 18 длинна, 500 мм.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Дренаж ШЛИЦЕВОЙ  - 5 шт. Дренаж Шлицевой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Благодаря увеличенным отверстиям удлиненной формы дренаж Шлицевой значительно более эффективен по сравнению с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Редоном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Его дренирующие отверстия более стойки к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что увеличивает сроки его продуктивного функционирования. • Полоса Rn-контроля по всей длине • Перфорация в виде удлиненных отверстий. • Зона перфорации – 100 мм • Длина дренажа – 500 мм • Набор наиболее применяемых размеров • Универсальный адаптер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Цветовая кодировка адаптера.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8.0.Размер 24 длинна, 500 мм.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Дренаж ШЛИЦЕВОЙ  - 5 шт. Дренаж Шлицевой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Благодаря увеличенным отверстиям удлиненной формы дренаж Шлицевой значительно более эффективен по сравнению с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Редоном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Его дренирующие отверстия более стойки к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обтурации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что увеличивает сроки его продуктивного функционирования. • Полоса Rn-контроля по всей длине • Перфорация в виде удлиненных отверстий. • Зона перфорации – 100 мм • Длина дренажа – 500 мм • Набор наиболее применяемых размеров • Универсальный адаптер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• Цветовая кодировка адаптера.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иам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10.0.Размер 30.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Длинна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500 мм. Аспиратор раневого поля  - 1 шт. Аспиратор раневого поля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раны. Этот тип аспиратора имеет контрольное отверстие, позволяющее создавать переменное разрежение внутри трубки, что значительно повышает эффективность процедуры. 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иаметр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3,0; мм Размер 9,0;  Длина 2000 мм. Аспиратор раневого поля  - 1 шт. Аспиратор раневого поля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раны. Этот тип аспиратора имеет контрольное отверстие, позволяющее создавать переменное разрежение внутри трубки, что значительно повышает эффективность процедуры. 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иаметр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6,0; мм Размер 18,0;  Длина 2000 мм. Аспиратор раневого поля  - 1 шт. Аспиратор раневого поля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</w:t>
            </w:r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раны. Этот тип аспиратора имеет контрольное отверстие, позволяющее создавать переменное разрежение внутри трубки, что значительно повышает эффективность процедуры. 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иаметр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8,0; мм Размер 24,0;  Длина 2000 мм. Удлинитель дренажа по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Бюлау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 банкой - 2 шт.    УДЛИНИТЕЛЬ ДРЕНАЖА ПО БЮЛЛАУ С БАНКОЙ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Эластичная ПВХ трубка длиной 1000 мм. Полимерная емкость объемом 600 мл. Латексный лепестковый клапан на дистальном конце.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Коннектор-переходник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Жанэ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проксимальном конце. Стерильный.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мм.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10. Размер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30. Длина 600 мм. Катетер для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эмболоэктомии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типа «ФОГАРТИ »  - 1 шт.        КАТЕТЕР ДЛЯ ЭМБОЛОКТОМИИ ТИПА «ФОГАРТИ»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изготовлен из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рентгеноконтрастного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термопластичного нетоксичного полимера; длина 800 мм;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аздувной  латексный баллон на дистальном конце; канюля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проксимальном конце канала для раздува баллона; закрытый дистальный конец имеет закругленную форму; объемный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мандрен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медицинской стали; 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мм.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;с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терилизованный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оксидом этилена. Размер – 4, Диаметр 1,3 мм. Цвет красный. Объем баллона до 1,4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лина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800 мм. Катетер для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эмболоэктомии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типа «ФОГАРТИ »  - 1 шт.    КАТЕТЕР ДЛЯ ЭМБОЛОКТОМИИ ТИПА «ФОГАРТИ»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изготовлен из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рентгеноконтрастного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термопластичного нетоксичного полимера; длина 800 мм;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аздувной  латексный баллон на дистальном конце; канюля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проксимальном конце канала для раздува баллона; закрытый дистальный конец имеет закругленную форму; объемный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мандрен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медицинской стали; 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мм.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;с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терилизованный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оксидом этилена. Размер – 5, Диаметр 1,7 мм. Цвет синий. Объем баллона до 1,8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лина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800 мм. Катетер для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эмболоэктомии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типа «ФОГАРТИ »  - 1 шт.        КАТЕТЕР ДЛЯ ЭМБОЛОКТОМИИ ТИПА «ФОГАРТИ»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изготовлен из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рентгеноконтрастного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термопластичного нетоксичного полимера; длина 800 мм;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аздувной  латексный баллон на дистальном конце; канюля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проксимальном конце канала для раздува баллона; закрытый дистальный конец имеет закругленную форму; объемный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мандрен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медицинской стали; 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мм.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;с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терилизованный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оксидом этилена. Размер – 6, Диаметр 2,0 мм. Цвет зеленый. Объем баллона до 2,5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лина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800 мм. Катетер для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эмболоэктомии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типа «ФОГАРТИ »  - 1 шт.        КАТЕТЕР ДЛЯ ЭМБОЛОКТОМИИ ТИПА «ФОГАРТИ» с гофрированной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рентгенконтрастной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лентой повышенной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капилярности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изготовлен из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рентгеноконтрастного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термопластичного нетоксичного полимера; длина 800 мм;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мм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аздувной  латексный баллон на дистальном конце; канюля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Люэра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проксимальном конце канала для раздува баллона; закрытый дистальный конец имеет закругленную форму; объемный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мандрен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медицинской стали;  Гофрированная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рентгенконтрастная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полоса изготовлена из ПВХ, длина 100 мм, ширина 10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мм.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;с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терилизованный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оксидом этилена. Размер – 8, Диаметр 2,7 мм. Цвет </w:t>
            </w:r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голубой. Объем баллона до 4,5 </w:t>
            </w:r>
            <w:proofErr w:type="spell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лина</w:t>
            </w:r>
            <w:proofErr w:type="spellEnd"/>
            <w:r w:rsidRPr="0057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800 мм.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B8" w:rsidRPr="005722B8" w:rsidRDefault="005722B8" w:rsidP="001F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B8" w:rsidRPr="005722B8" w:rsidRDefault="005722B8" w:rsidP="001F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722B8" w:rsidRPr="005722B8" w:rsidRDefault="005722B8" w:rsidP="001F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436530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B8" w:rsidRPr="005722B8" w:rsidRDefault="005722B8" w:rsidP="001F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8730600</w:t>
            </w:r>
          </w:p>
        </w:tc>
      </w:tr>
      <w:tr w:rsidR="005722B8" w:rsidRPr="005722B8" w:rsidTr="005722B8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8" w:rsidRPr="005722B8" w:rsidRDefault="005722B8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8" w:rsidRPr="005722B8" w:rsidRDefault="005722B8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2B8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8" w:rsidRPr="005722B8" w:rsidRDefault="005722B8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8" w:rsidRPr="005722B8" w:rsidRDefault="005722B8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22B8" w:rsidRPr="005722B8" w:rsidRDefault="005722B8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B8" w:rsidRPr="005722B8" w:rsidRDefault="005722B8" w:rsidP="008A448A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B8" w:rsidRPr="005722B8" w:rsidRDefault="002C2AC1" w:rsidP="008A448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 w:eastAsia="ru-RU"/>
              </w:rPr>
              <w:t>60 682 760,00</w:t>
            </w:r>
          </w:p>
        </w:tc>
      </w:tr>
    </w:tbl>
    <w:p w:rsidR="002C0CF0" w:rsidRDefault="002C0CF0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p w:rsidR="00C822E1" w:rsidRDefault="00C822E1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p w:rsidR="00F54E8C" w:rsidRPr="002128FA" w:rsidRDefault="002128FA" w:rsidP="00F54E8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№375 от 04.06.2021г.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по заявке заказчика</w:t>
      </w:r>
      <w:r w:rsidR="00F54E8C" w:rsidRPr="002128FA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F54E8C" w:rsidRPr="002128FA" w:rsidRDefault="00F54E8C" w:rsidP="00F54E8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Управление здравоохранения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области).</w:t>
      </w:r>
    </w:p>
    <w:p w:rsidR="002C0CF0" w:rsidRDefault="00C822E1" w:rsidP="00C822E1">
      <w:pPr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2C2AC1">
        <w:rPr>
          <w:rFonts w:ascii="Times New Roman" w:hAnsi="Times New Roman"/>
          <w:b/>
          <w:sz w:val="20"/>
          <w:szCs w:val="20"/>
          <w:lang w:eastAsia="ru-RU"/>
        </w:rPr>
        <w:t>4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2128FA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 г. 1</w:t>
      </w:r>
      <w:r w:rsidR="00B41647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:00  часов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F54E8C" w:rsidRPr="002128FA">
        <w:rPr>
          <w:rFonts w:ascii="Times New Roman" w:hAnsi="Times New Roman"/>
          <w:b/>
          <w:sz w:val="20"/>
          <w:szCs w:val="20"/>
          <w:lang w:eastAsia="ru-RU"/>
        </w:rPr>
        <w:t>тельный срок подачи документов: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 xml:space="preserve"> 1</w:t>
      </w:r>
      <w:r w:rsidR="002C2AC1">
        <w:rPr>
          <w:rFonts w:ascii="Times New Roman" w:hAnsi="Times New Roman"/>
          <w:b/>
          <w:sz w:val="20"/>
          <w:szCs w:val="20"/>
          <w:lang w:eastAsia="ru-RU"/>
        </w:rPr>
        <w:t>4</w:t>
      </w:r>
      <w:r w:rsidR="0054041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июня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2128FA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г. до </w:t>
      </w:r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C55AE0" w:rsidRPr="002128FA">
        <w:rPr>
          <w:rFonts w:ascii="Times New Roman" w:hAnsi="Times New Roman"/>
          <w:b/>
          <w:sz w:val="20"/>
          <w:szCs w:val="20"/>
          <w:lang w:val="kk-KZ" w:eastAsia="ru-RU"/>
        </w:rPr>
        <w:t>0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</w:t>
      </w:r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>тендерной</w:t>
      </w:r>
      <w:proofErr w:type="gramEnd"/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документаций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2C2AC1">
        <w:rPr>
          <w:rFonts w:ascii="Times New Roman" w:hAnsi="Times New Roman"/>
          <w:b/>
          <w:sz w:val="20"/>
          <w:szCs w:val="20"/>
          <w:lang w:eastAsia="ru-RU"/>
        </w:rPr>
        <w:t>4</w:t>
      </w:r>
      <w:r w:rsidR="0054041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95BD6">
        <w:rPr>
          <w:rFonts w:ascii="Times New Roman" w:hAnsi="Times New Roman"/>
          <w:b/>
          <w:sz w:val="20"/>
          <w:szCs w:val="20"/>
          <w:lang w:eastAsia="ru-RU"/>
        </w:rPr>
        <w:t>июня</w:t>
      </w:r>
      <w:r w:rsidR="00540416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540416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540416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г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., в 1</w:t>
      </w:r>
      <w:r w:rsidR="00C55AE0" w:rsidRPr="002128FA"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</w:t>
      </w:r>
    </w:p>
    <w:p w:rsidR="005722B8" w:rsidRDefault="005722B8" w:rsidP="00C822E1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5722B8" w:rsidRDefault="005722B8" w:rsidP="00C822E1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8426E2" w:rsidRPr="00540416" w:rsidRDefault="008426E2" w:rsidP="00C822E1">
      <w:pPr>
        <w:rPr>
          <w:sz w:val="20"/>
          <w:szCs w:val="20"/>
        </w:rPr>
      </w:pPr>
    </w:p>
    <w:sectPr w:rsidR="008426E2" w:rsidRPr="00540416" w:rsidSect="005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3C7"/>
    <w:multiLevelType w:val="hybridMultilevel"/>
    <w:tmpl w:val="ACEA23FC"/>
    <w:lvl w:ilvl="0" w:tplc="BA26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061F"/>
    <w:multiLevelType w:val="hybridMultilevel"/>
    <w:tmpl w:val="ACEA23FC"/>
    <w:lvl w:ilvl="0" w:tplc="BA26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01D0B"/>
    <w:multiLevelType w:val="hybridMultilevel"/>
    <w:tmpl w:val="ACEA23FC"/>
    <w:lvl w:ilvl="0" w:tplc="BA26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1CFA"/>
    <w:rsid w:val="00032E70"/>
    <w:rsid w:val="000800A8"/>
    <w:rsid w:val="00080EBE"/>
    <w:rsid w:val="00095383"/>
    <w:rsid w:val="000A1072"/>
    <w:rsid w:val="000B0DBF"/>
    <w:rsid w:val="000B2E80"/>
    <w:rsid w:val="000B5DE4"/>
    <w:rsid w:val="00110E15"/>
    <w:rsid w:val="00170EC4"/>
    <w:rsid w:val="00195EE2"/>
    <w:rsid w:val="001D6A66"/>
    <w:rsid w:val="00211D30"/>
    <w:rsid w:val="002128FA"/>
    <w:rsid w:val="00223B99"/>
    <w:rsid w:val="00283854"/>
    <w:rsid w:val="002A57C2"/>
    <w:rsid w:val="002C0CF0"/>
    <w:rsid w:val="002C16C4"/>
    <w:rsid w:val="002C2AC1"/>
    <w:rsid w:val="002C48E2"/>
    <w:rsid w:val="002C703C"/>
    <w:rsid w:val="00315D00"/>
    <w:rsid w:val="003303CF"/>
    <w:rsid w:val="00376E54"/>
    <w:rsid w:val="00384CFE"/>
    <w:rsid w:val="00394EDA"/>
    <w:rsid w:val="003E03BD"/>
    <w:rsid w:val="00424F1C"/>
    <w:rsid w:val="00443E83"/>
    <w:rsid w:val="0047718E"/>
    <w:rsid w:val="004B3DDC"/>
    <w:rsid w:val="00540416"/>
    <w:rsid w:val="00545387"/>
    <w:rsid w:val="00564740"/>
    <w:rsid w:val="005722B8"/>
    <w:rsid w:val="00593699"/>
    <w:rsid w:val="005F422E"/>
    <w:rsid w:val="005F425C"/>
    <w:rsid w:val="00601C42"/>
    <w:rsid w:val="00662839"/>
    <w:rsid w:val="00671696"/>
    <w:rsid w:val="006B29C7"/>
    <w:rsid w:val="006B45F7"/>
    <w:rsid w:val="006F7283"/>
    <w:rsid w:val="0070108F"/>
    <w:rsid w:val="00722159"/>
    <w:rsid w:val="00725E34"/>
    <w:rsid w:val="007542C4"/>
    <w:rsid w:val="00755900"/>
    <w:rsid w:val="00787568"/>
    <w:rsid w:val="007B0D8A"/>
    <w:rsid w:val="007D28CC"/>
    <w:rsid w:val="00801338"/>
    <w:rsid w:val="008426E2"/>
    <w:rsid w:val="00895BD6"/>
    <w:rsid w:val="008A448A"/>
    <w:rsid w:val="008D1CFA"/>
    <w:rsid w:val="008D3DC5"/>
    <w:rsid w:val="008F4146"/>
    <w:rsid w:val="00930697"/>
    <w:rsid w:val="00976BDC"/>
    <w:rsid w:val="009A6A60"/>
    <w:rsid w:val="009F24EF"/>
    <w:rsid w:val="009F620C"/>
    <w:rsid w:val="00A36770"/>
    <w:rsid w:val="00A950B5"/>
    <w:rsid w:val="00AD1BB3"/>
    <w:rsid w:val="00B06301"/>
    <w:rsid w:val="00B16F48"/>
    <w:rsid w:val="00B41647"/>
    <w:rsid w:val="00B76883"/>
    <w:rsid w:val="00BB5589"/>
    <w:rsid w:val="00C44C85"/>
    <w:rsid w:val="00C55AE0"/>
    <w:rsid w:val="00C822E1"/>
    <w:rsid w:val="00D41C33"/>
    <w:rsid w:val="00D934C6"/>
    <w:rsid w:val="00E0431E"/>
    <w:rsid w:val="00E13F20"/>
    <w:rsid w:val="00E2463D"/>
    <w:rsid w:val="00E4605D"/>
    <w:rsid w:val="00EA27E9"/>
    <w:rsid w:val="00EA6612"/>
    <w:rsid w:val="00EF032F"/>
    <w:rsid w:val="00F04F64"/>
    <w:rsid w:val="00F10DD1"/>
    <w:rsid w:val="00F36713"/>
    <w:rsid w:val="00F37878"/>
    <w:rsid w:val="00F44A36"/>
    <w:rsid w:val="00F54E8C"/>
    <w:rsid w:val="00F970D3"/>
    <w:rsid w:val="00FB7CAF"/>
    <w:rsid w:val="00FC047B"/>
    <w:rsid w:val="00FC4DE5"/>
    <w:rsid w:val="00FD724B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5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Пользователь Windows</cp:lastModifiedBy>
  <cp:revision>20</cp:revision>
  <cp:lastPrinted>2019-08-22T05:37:00Z</cp:lastPrinted>
  <dcterms:created xsi:type="dcterms:W3CDTF">2021-01-06T09:16:00Z</dcterms:created>
  <dcterms:modified xsi:type="dcterms:W3CDTF">2022-05-24T03:12:00Z</dcterms:modified>
</cp:coreProperties>
</file>