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Pr="00430CD1">
        <w:rPr>
          <w:rFonts w:eastAsia="Times New Roman"/>
          <w:b/>
          <w:iCs/>
          <w:lang w:eastAsia="ru-RU"/>
        </w:rPr>
        <w:t>4</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w:t>
      </w:r>
      <w:proofErr w:type="gramEnd"/>
      <w:r>
        <w:rPr>
          <w:rFonts w:eastAsia="Times New Roman"/>
          <w:lang w:eastAsia="ru-RU"/>
        </w:rPr>
        <w:t xml:space="preserve"> последующих </w:t>
      </w:r>
      <w:proofErr w:type="gramStart"/>
      <w:r>
        <w:rPr>
          <w:rFonts w:eastAsia="Times New Roman"/>
          <w:lang w:eastAsia="ru-RU"/>
        </w:rPr>
        <w:t>поставках</w:t>
      </w:r>
      <w:proofErr w:type="gramEnd"/>
      <w:r>
        <w:rPr>
          <w:rFonts w:eastAsia="Times New Roman"/>
          <w:lang w:eastAsia="ru-RU"/>
        </w:rPr>
        <w:t xml:space="preserve"> в течение финансового года; </w:t>
      </w:r>
      <w:proofErr w:type="gramStart"/>
      <w:r>
        <w:rPr>
          <w:rFonts w:eastAsia="Times New Roman"/>
          <w:lang w:eastAsia="ru-RU"/>
        </w:rPr>
        <w:t xml:space="preserve">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w:t>
      </w:r>
      <w:r>
        <w:rPr>
          <w:rFonts w:eastAsia="Times New Roman"/>
          <w:lang w:eastAsia="ru-RU"/>
        </w:rPr>
        <w:lastRenderedPageBreak/>
        <w:t xml:space="preserve">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Pr>
          <w:rStyle w:val="s9"/>
          <w:b/>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w:t>
      </w:r>
      <w:proofErr w:type="gramStart"/>
      <w:r>
        <w:t>и</w:t>
      </w:r>
      <w:proofErr w:type="gramEnd"/>
      <w:r>
        <w:t xml:space="preserve"> 30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lastRenderedPageBreak/>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w:t>
      </w:r>
      <w:r>
        <w:rPr>
          <w:rFonts w:eastAsia="Times New Roman"/>
          <w:color w:val="000000"/>
          <w:lang w:eastAsia="ru-RU"/>
        </w:rPr>
        <w:lastRenderedPageBreak/>
        <w:t xml:space="preserve">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lastRenderedPageBreak/>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430CD1" w:rsidRPr="00357CF6">
        <w:rPr>
          <w:rFonts w:eastAsia="Times New Roman"/>
          <w:b/>
          <w:iCs/>
          <w:lang w:val="kk-KZ" w:eastAsia="ru-RU"/>
        </w:rPr>
        <w:t>ета на 2024</w:t>
      </w:r>
      <w:r w:rsidRPr="00357CF6">
        <w:rPr>
          <w:rFonts w:eastAsia="Times New Roman"/>
          <w:b/>
          <w:iCs/>
          <w:lang w:val="kk-KZ" w:eastAsia="ru-RU"/>
        </w:rPr>
        <w:t xml:space="preserve"> год</w:t>
      </w:r>
      <w:r w:rsidR="00430CD1" w:rsidRPr="00357CF6">
        <w:rPr>
          <w:b/>
          <w:lang w:val="kk-KZ"/>
        </w:rPr>
        <w:t xml:space="preserve">» и «Не </w:t>
      </w:r>
      <w:r w:rsidR="00357CF6" w:rsidRPr="00357CF6">
        <w:rPr>
          <w:b/>
          <w:lang w:val="kk-KZ"/>
        </w:rPr>
        <w:t>вскрывать до «15</w:t>
      </w:r>
      <w:r w:rsidRPr="00357CF6">
        <w:rPr>
          <w:b/>
          <w:lang w:val="kk-KZ"/>
        </w:rPr>
        <w:t xml:space="preserve">» </w:t>
      </w:r>
      <w:r w:rsidR="00430CD1" w:rsidRPr="00357CF6">
        <w:rPr>
          <w:b/>
          <w:lang w:val="kk-KZ"/>
        </w:rPr>
        <w:t>января 2024</w:t>
      </w:r>
      <w:r w:rsidRPr="00357CF6">
        <w:rPr>
          <w:b/>
          <w:lang w:val="kk-KZ"/>
        </w:rPr>
        <w:t xml:space="preserve"> года 14:00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12 часов, 00 мин., 15</w:t>
      </w:r>
      <w:r w:rsidRPr="00357CF6">
        <w:rPr>
          <w:b/>
        </w:rPr>
        <w:t xml:space="preserve"> </w:t>
      </w:r>
      <w:r w:rsidR="002E6B43" w:rsidRPr="00357CF6">
        <w:rPr>
          <w:b/>
        </w:rPr>
        <w:t>января</w:t>
      </w:r>
      <w:r w:rsidRPr="00357CF6">
        <w:rPr>
          <w:b/>
        </w:rPr>
        <w:t xml:space="preserve"> </w:t>
      </w:r>
      <w:r w:rsidRPr="00357CF6">
        <w:rPr>
          <w:rFonts w:eastAsia="Times New Roman"/>
          <w:b/>
          <w:color w:val="000000"/>
          <w:lang w:val="kk-KZ" w:eastAsia="ru-RU"/>
        </w:rPr>
        <w:t>202</w:t>
      </w:r>
      <w:r w:rsidR="002E6B43" w:rsidRPr="00357CF6">
        <w:rPr>
          <w:rFonts w:eastAsia="Times New Roman"/>
          <w:b/>
          <w:color w:val="000000"/>
          <w:lang w:val="kk-KZ" w:eastAsia="ru-RU"/>
        </w:rPr>
        <w:t>4</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lastRenderedPageBreak/>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 xml:space="preserve">в 14 часов, 00 мин., </w:t>
      </w:r>
      <w:r w:rsidR="00357CF6" w:rsidRPr="00357CF6">
        <w:rPr>
          <w:rFonts w:eastAsia="Times New Roman"/>
          <w:b/>
          <w:color w:val="000000"/>
          <w:lang w:val="kk-KZ" w:eastAsia="ru-RU"/>
        </w:rPr>
        <w:t>15</w:t>
      </w:r>
      <w:r w:rsidRPr="00357CF6">
        <w:rPr>
          <w:rFonts w:eastAsia="Times New Roman"/>
          <w:b/>
          <w:color w:val="000000"/>
          <w:lang w:val="kk-KZ" w:eastAsia="ru-RU"/>
        </w:rPr>
        <w:t xml:space="preserve"> </w:t>
      </w:r>
      <w:r w:rsidR="002E6B43" w:rsidRPr="00357CF6">
        <w:rPr>
          <w:rFonts w:eastAsia="Times New Roman"/>
          <w:b/>
          <w:color w:val="000000"/>
          <w:lang w:val="kk-KZ" w:eastAsia="ru-RU"/>
        </w:rPr>
        <w:t>января 2024</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w:t>
      </w:r>
      <w:r>
        <w:lastRenderedPageBreak/>
        <w:t xml:space="preserve">журнале регистрации потенциальных поставщиков </w:t>
      </w:r>
      <w:r w:rsidR="002E6B43" w:rsidRPr="00357CF6">
        <w:rPr>
          <w:b/>
        </w:rPr>
        <w:t xml:space="preserve">до 12 часов, 00 мин., </w:t>
      </w:r>
      <w:r w:rsidR="00357CF6" w:rsidRPr="00357CF6">
        <w:rPr>
          <w:b/>
        </w:rPr>
        <w:t>15</w:t>
      </w:r>
      <w:r w:rsidRPr="00357CF6">
        <w:rPr>
          <w:b/>
        </w:rPr>
        <w:t xml:space="preserve"> </w:t>
      </w:r>
      <w:r w:rsidR="002E6B43" w:rsidRPr="00357CF6">
        <w:rPr>
          <w:b/>
        </w:rPr>
        <w:t>января</w:t>
      </w:r>
      <w:r w:rsidRPr="00357CF6">
        <w:rPr>
          <w:b/>
        </w:rPr>
        <w:t xml:space="preserve"> </w:t>
      </w:r>
      <w:r w:rsidR="002E6B43" w:rsidRPr="00357CF6">
        <w:rPr>
          <w:rFonts w:eastAsia="Times New Roman"/>
          <w:b/>
          <w:color w:val="000000"/>
          <w:lang w:val="kk-KZ" w:eastAsia="ru-RU"/>
        </w:rPr>
        <w:t>2024</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lastRenderedPageBreak/>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lastRenderedPageBreak/>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lastRenderedPageBreak/>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w:t>
      </w:r>
      <w:r>
        <w:rPr>
          <w:color w:val="000000"/>
        </w:rPr>
        <w:lastRenderedPageBreak/>
        <w:t xml:space="preserve">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lastRenderedPageBreak/>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357CF6" w:rsidRDefault="00357CF6"/>
    <w:p w:rsidR="002E6B43" w:rsidRDefault="002E6B43"/>
    <w:p w:rsidR="002E6B43" w:rsidRDefault="002E6B43"/>
    <w:p w:rsidR="002E6B43" w:rsidRDefault="002E6B43"/>
    <w:p w:rsidR="00CA0A9A" w:rsidRDefault="00CA0A9A"/>
    <w:p w:rsidR="00CA0A9A" w:rsidRDefault="00CA0A9A"/>
    <w:p w:rsidR="00CA0A9A" w:rsidRDefault="0043122D">
      <w:pPr>
        <w:jc w:val="right"/>
      </w:pPr>
      <w:r>
        <w:t>Приложение №1</w:t>
      </w:r>
    </w:p>
    <w:p w:rsidR="00CA0A9A" w:rsidRDefault="0015531B">
      <w:pPr>
        <w:jc w:val="right"/>
      </w:pPr>
      <w:r>
        <w:t>к</w:t>
      </w:r>
      <w:r w:rsidR="0043122D">
        <w:t xml:space="preserve"> </w:t>
      </w:r>
      <w:proofErr w:type="gramStart"/>
      <w:r w:rsidR="0043122D">
        <w:t>тендерной</w:t>
      </w:r>
      <w:proofErr w:type="gramEnd"/>
      <w:r w:rsidR="0043122D">
        <w:t xml:space="preserve"> документаций</w:t>
      </w:r>
    </w:p>
    <w:tbl>
      <w:tblPr>
        <w:tblW w:w="10207" w:type="dxa"/>
        <w:tblInd w:w="-34" w:type="dxa"/>
        <w:tblLayout w:type="fixed"/>
        <w:tblLook w:val="04A0"/>
      </w:tblPr>
      <w:tblGrid>
        <w:gridCol w:w="10207"/>
      </w:tblGrid>
      <w:tr w:rsidR="00CA0A9A" w:rsidTr="00357CF6">
        <w:trPr>
          <w:trHeight w:val="300"/>
        </w:trPr>
        <w:tc>
          <w:tcPr>
            <w:tcW w:w="10207" w:type="dxa"/>
            <w:tcBorders>
              <w:top w:val="nil"/>
              <w:left w:val="nil"/>
              <w:bottom w:val="nil"/>
              <w:right w:val="nil"/>
            </w:tcBorders>
            <w:shd w:val="clear" w:color="auto" w:fill="auto"/>
            <w:vAlign w:val="bottom"/>
          </w:tcPr>
          <w:p w:rsidR="00CA0A9A" w:rsidRDefault="00CA0A9A">
            <w:pPr>
              <w:pStyle w:val="a3"/>
              <w:ind w:left="-675" w:firstLine="675"/>
              <w:rPr>
                <w:rFonts w:eastAsia="Times New Roman"/>
                <w:b/>
                <w:bCs/>
                <w:color w:val="000000"/>
                <w:sz w:val="18"/>
                <w:szCs w:val="18"/>
                <w:lang w:eastAsia="ru-RU"/>
              </w:rPr>
            </w:pPr>
          </w:p>
        </w:tc>
      </w:tr>
      <w:tr w:rsidR="002E6B43" w:rsidRPr="00350145" w:rsidTr="00357CF6">
        <w:trPr>
          <w:trHeight w:val="300"/>
        </w:trPr>
        <w:tc>
          <w:tcPr>
            <w:tcW w:w="10207" w:type="dxa"/>
            <w:tcBorders>
              <w:top w:val="nil"/>
              <w:left w:val="nil"/>
              <w:bottom w:val="nil"/>
              <w:right w:val="nil"/>
            </w:tcBorders>
            <w:shd w:val="clear" w:color="auto" w:fill="auto"/>
            <w:vAlign w:val="bottom"/>
          </w:tcPr>
          <w:p w:rsidR="00357CF6" w:rsidRDefault="00357CF6" w:rsidP="00357CF6">
            <w:pPr>
              <w:pStyle w:val="a3"/>
              <w:rPr>
                <w:sz w:val="20"/>
                <w:szCs w:val="20"/>
                <w:lang w:eastAsia="ru-RU"/>
              </w:rPr>
            </w:pPr>
          </w:p>
          <w:tbl>
            <w:tblPr>
              <w:tblW w:w="10013" w:type="dxa"/>
              <w:tblLayout w:type="fixed"/>
              <w:tblLook w:val="04A0"/>
            </w:tblPr>
            <w:tblGrid>
              <w:gridCol w:w="568"/>
              <w:gridCol w:w="2268"/>
              <w:gridCol w:w="2835"/>
              <w:gridCol w:w="850"/>
              <w:gridCol w:w="851"/>
              <w:gridCol w:w="1134"/>
              <w:gridCol w:w="1507"/>
            </w:tblGrid>
            <w:tr w:rsidR="00BF568C" w:rsidRPr="001F6363" w:rsidTr="00B82819">
              <w:trPr>
                <w:trHeight w:val="589"/>
              </w:trPr>
              <w:tc>
                <w:tcPr>
                  <w:tcW w:w="568" w:type="dxa"/>
                  <w:tcBorders>
                    <w:top w:val="single" w:sz="4" w:space="0" w:color="auto"/>
                    <w:left w:val="single" w:sz="4" w:space="0" w:color="auto"/>
                    <w:bottom w:val="single" w:sz="4" w:space="0" w:color="auto"/>
                    <w:right w:val="single" w:sz="4" w:space="0" w:color="auto"/>
                  </w:tcBorders>
                  <w:noWrap/>
                  <w:vAlign w:val="center"/>
                  <w:hideMark/>
                </w:tcPr>
                <w:p w:rsidR="00BF568C" w:rsidRPr="001F6363" w:rsidRDefault="00BF568C" w:rsidP="00B82819">
                  <w:pPr>
                    <w:pStyle w:val="a3"/>
                    <w:rPr>
                      <w:b/>
                      <w:sz w:val="20"/>
                      <w:szCs w:val="20"/>
                      <w:lang w:eastAsia="ru-RU"/>
                    </w:rPr>
                  </w:pPr>
                  <w:r w:rsidRPr="001F6363">
                    <w:rPr>
                      <w:b/>
                      <w:sz w:val="20"/>
                      <w:szCs w:val="20"/>
                      <w:lang w:eastAsia="ru-RU"/>
                    </w:rPr>
                    <w:t>№</w:t>
                  </w:r>
                </w:p>
              </w:tc>
              <w:tc>
                <w:tcPr>
                  <w:tcW w:w="2268" w:type="dxa"/>
                  <w:tcBorders>
                    <w:top w:val="single" w:sz="4" w:space="0" w:color="auto"/>
                    <w:left w:val="nil"/>
                    <w:bottom w:val="single" w:sz="4" w:space="0" w:color="auto"/>
                    <w:right w:val="single" w:sz="4" w:space="0" w:color="auto"/>
                  </w:tcBorders>
                  <w:vAlign w:val="center"/>
                  <w:hideMark/>
                </w:tcPr>
                <w:p w:rsidR="00BF568C" w:rsidRPr="001F6363" w:rsidRDefault="00BF568C" w:rsidP="00B82819">
                  <w:pPr>
                    <w:pStyle w:val="a3"/>
                    <w:rPr>
                      <w:b/>
                      <w:sz w:val="20"/>
                      <w:szCs w:val="20"/>
                      <w:lang w:eastAsia="ru-RU"/>
                    </w:rPr>
                  </w:pPr>
                  <w:r w:rsidRPr="001F6363">
                    <w:rPr>
                      <w:b/>
                      <w:sz w:val="20"/>
                      <w:szCs w:val="20"/>
                      <w:lang w:eastAsia="ru-RU"/>
                    </w:rPr>
                    <w:t>Наименование товара</w:t>
                  </w:r>
                </w:p>
              </w:tc>
              <w:tc>
                <w:tcPr>
                  <w:tcW w:w="2835" w:type="dxa"/>
                  <w:tcBorders>
                    <w:top w:val="single" w:sz="4" w:space="0" w:color="auto"/>
                    <w:left w:val="nil"/>
                    <w:bottom w:val="single" w:sz="4" w:space="0" w:color="auto"/>
                    <w:right w:val="single" w:sz="4" w:space="0" w:color="auto"/>
                  </w:tcBorders>
                  <w:vAlign w:val="center"/>
                  <w:hideMark/>
                </w:tcPr>
                <w:p w:rsidR="00BF568C" w:rsidRPr="001F6363" w:rsidRDefault="00BF568C" w:rsidP="00B82819">
                  <w:pPr>
                    <w:pStyle w:val="a3"/>
                    <w:rPr>
                      <w:b/>
                      <w:sz w:val="20"/>
                      <w:szCs w:val="20"/>
                      <w:lang w:eastAsia="ru-RU"/>
                    </w:rPr>
                  </w:pPr>
                  <w:r w:rsidRPr="001F6363">
                    <w:rPr>
                      <w:b/>
                      <w:sz w:val="20"/>
                      <w:szCs w:val="20"/>
                      <w:lang w:eastAsia="ru-RU"/>
                    </w:rPr>
                    <w:t>Характеристика изделия медицинского назначения</w:t>
                  </w:r>
                </w:p>
              </w:tc>
              <w:tc>
                <w:tcPr>
                  <w:tcW w:w="850" w:type="dxa"/>
                  <w:tcBorders>
                    <w:top w:val="single" w:sz="4" w:space="0" w:color="auto"/>
                    <w:left w:val="nil"/>
                    <w:bottom w:val="single" w:sz="4" w:space="0" w:color="auto"/>
                    <w:right w:val="single" w:sz="4" w:space="0" w:color="auto"/>
                  </w:tcBorders>
                  <w:vAlign w:val="center"/>
                  <w:hideMark/>
                </w:tcPr>
                <w:p w:rsidR="00BF568C" w:rsidRPr="001F6363" w:rsidRDefault="00BF568C" w:rsidP="00B82819">
                  <w:pPr>
                    <w:pStyle w:val="a3"/>
                    <w:rPr>
                      <w:b/>
                      <w:sz w:val="20"/>
                      <w:szCs w:val="20"/>
                      <w:lang w:eastAsia="ru-RU"/>
                    </w:rPr>
                  </w:pPr>
                  <w:r w:rsidRPr="001F6363">
                    <w:rPr>
                      <w:b/>
                      <w:sz w:val="20"/>
                      <w:szCs w:val="20"/>
                      <w:lang w:eastAsia="ru-RU"/>
                    </w:rPr>
                    <w:t xml:space="preserve">Ед. </w:t>
                  </w:r>
                </w:p>
              </w:tc>
              <w:tc>
                <w:tcPr>
                  <w:tcW w:w="851" w:type="dxa"/>
                  <w:tcBorders>
                    <w:top w:val="single" w:sz="4" w:space="0" w:color="auto"/>
                    <w:left w:val="nil"/>
                    <w:bottom w:val="single" w:sz="4" w:space="0" w:color="auto"/>
                    <w:right w:val="single" w:sz="4" w:space="0" w:color="auto"/>
                  </w:tcBorders>
                  <w:vAlign w:val="center"/>
                  <w:hideMark/>
                </w:tcPr>
                <w:p w:rsidR="00BF568C" w:rsidRPr="001F6363" w:rsidRDefault="00BF568C" w:rsidP="00B82819">
                  <w:pPr>
                    <w:pStyle w:val="a3"/>
                    <w:rPr>
                      <w:b/>
                      <w:sz w:val="20"/>
                      <w:szCs w:val="20"/>
                      <w:lang w:eastAsia="ru-RU"/>
                    </w:rPr>
                  </w:pPr>
                  <w:r w:rsidRPr="001F6363">
                    <w:rPr>
                      <w:b/>
                      <w:sz w:val="20"/>
                      <w:szCs w:val="20"/>
                      <w:lang w:eastAsia="ru-RU"/>
                    </w:rPr>
                    <w:t xml:space="preserve">Кол-во </w:t>
                  </w:r>
                </w:p>
              </w:tc>
              <w:tc>
                <w:tcPr>
                  <w:tcW w:w="1134" w:type="dxa"/>
                  <w:tcBorders>
                    <w:top w:val="single" w:sz="4" w:space="0" w:color="auto"/>
                    <w:left w:val="nil"/>
                    <w:bottom w:val="single" w:sz="4" w:space="0" w:color="auto"/>
                    <w:right w:val="single" w:sz="4" w:space="0" w:color="auto"/>
                  </w:tcBorders>
                  <w:vAlign w:val="center"/>
                  <w:hideMark/>
                </w:tcPr>
                <w:p w:rsidR="00BF568C" w:rsidRPr="001F6363" w:rsidRDefault="00BF568C" w:rsidP="00B82819">
                  <w:pPr>
                    <w:pStyle w:val="a3"/>
                    <w:rPr>
                      <w:b/>
                      <w:sz w:val="20"/>
                      <w:szCs w:val="20"/>
                      <w:lang w:eastAsia="ru-RU"/>
                    </w:rPr>
                  </w:pPr>
                  <w:r w:rsidRPr="001F6363">
                    <w:rPr>
                      <w:b/>
                      <w:sz w:val="20"/>
                      <w:szCs w:val="20"/>
                      <w:lang w:eastAsia="ru-RU"/>
                    </w:rPr>
                    <w:t>Цена</w:t>
                  </w:r>
                </w:p>
              </w:tc>
              <w:tc>
                <w:tcPr>
                  <w:tcW w:w="1507" w:type="dxa"/>
                  <w:tcBorders>
                    <w:top w:val="single" w:sz="4" w:space="0" w:color="auto"/>
                    <w:left w:val="nil"/>
                    <w:bottom w:val="single" w:sz="4" w:space="0" w:color="auto"/>
                    <w:right w:val="single" w:sz="4" w:space="0" w:color="auto"/>
                  </w:tcBorders>
                  <w:vAlign w:val="center"/>
                  <w:hideMark/>
                </w:tcPr>
                <w:p w:rsidR="00BF568C" w:rsidRPr="001F6363" w:rsidRDefault="00BF568C" w:rsidP="00B82819">
                  <w:pPr>
                    <w:pStyle w:val="a3"/>
                    <w:rPr>
                      <w:b/>
                      <w:sz w:val="20"/>
                      <w:szCs w:val="20"/>
                      <w:lang w:eastAsia="ru-RU"/>
                    </w:rPr>
                  </w:pPr>
                  <w:r w:rsidRPr="001F6363">
                    <w:rPr>
                      <w:b/>
                      <w:sz w:val="20"/>
                      <w:szCs w:val="20"/>
                      <w:lang w:eastAsia="ru-RU"/>
                    </w:rPr>
                    <w:t>Сумма</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1</w:t>
                  </w:r>
                </w:p>
              </w:tc>
              <w:tc>
                <w:tcPr>
                  <w:tcW w:w="2268" w:type="dxa"/>
                  <w:tcBorders>
                    <w:top w:val="single" w:sz="4" w:space="0" w:color="auto"/>
                    <w:left w:val="single" w:sz="4" w:space="0" w:color="auto"/>
                    <w:bottom w:val="single" w:sz="4" w:space="0" w:color="auto"/>
                    <w:right w:val="nil"/>
                  </w:tcBorders>
                  <w:hideMark/>
                </w:tcPr>
                <w:p w:rsidR="00BF568C" w:rsidRPr="001F6363" w:rsidRDefault="00BF568C" w:rsidP="00B82819">
                  <w:pPr>
                    <w:pStyle w:val="a3"/>
                    <w:rPr>
                      <w:color w:val="000000"/>
                      <w:sz w:val="20"/>
                      <w:szCs w:val="20"/>
                      <w:lang w:val="kk-KZ"/>
                    </w:rPr>
                  </w:pPr>
                  <w:r w:rsidRPr="001F6363">
                    <w:rPr>
                      <w:color w:val="000000"/>
                      <w:sz w:val="20"/>
                      <w:szCs w:val="20"/>
                    </w:rPr>
                    <w:t>Марля</w:t>
                  </w:r>
                  <w:r w:rsidRPr="001F6363">
                    <w:rPr>
                      <w:color w:val="000000"/>
                      <w:sz w:val="20"/>
                      <w:szCs w:val="20"/>
                      <w:lang w:val="kk-KZ"/>
                    </w:rPr>
                    <w:t xml:space="preserve"> медицинская</w:t>
                  </w:r>
                </w:p>
                <w:p w:rsidR="00BF568C" w:rsidRPr="001F6363" w:rsidRDefault="00BF568C" w:rsidP="00B82819">
                  <w:pPr>
                    <w:pStyle w:val="a3"/>
                    <w:rPr>
                      <w:sz w:val="20"/>
                      <w:szCs w:val="20"/>
                    </w:rPr>
                  </w:pPr>
                  <w:r w:rsidRPr="001F6363">
                    <w:rPr>
                      <w:sz w:val="20"/>
                      <w:szCs w:val="20"/>
                    </w:rPr>
                    <w:t xml:space="preserve">Марля </w:t>
                  </w:r>
                  <w:proofErr w:type="spellStart"/>
                  <w:r w:rsidRPr="001F6363">
                    <w:rPr>
                      <w:sz w:val="20"/>
                      <w:szCs w:val="20"/>
                    </w:rPr>
                    <w:t>мед</w:t>
                  </w:r>
                  <w:proofErr w:type="gramStart"/>
                  <w:r w:rsidRPr="001F6363">
                    <w:rPr>
                      <w:sz w:val="20"/>
                      <w:szCs w:val="20"/>
                    </w:rPr>
                    <w:t>.о</w:t>
                  </w:r>
                  <w:proofErr w:type="gramEnd"/>
                  <w:r w:rsidRPr="001F6363">
                    <w:rPr>
                      <w:sz w:val="20"/>
                      <w:szCs w:val="20"/>
                    </w:rPr>
                    <w:t>тбеленная</w:t>
                  </w:r>
                  <w:proofErr w:type="spellEnd"/>
                  <w:r w:rsidRPr="001F6363">
                    <w:rPr>
                      <w:sz w:val="20"/>
                      <w:szCs w:val="20"/>
                    </w:rPr>
                    <w:t xml:space="preserve"> </w:t>
                  </w:r>
                </w:p>
                <w:p w:rsidR="00BF568C" w:rsidRPr="001F6363" w:rsidRDefault="00BF568C" w:rsidP="00B82819">
                  <w:pPr>
                    <w:pStyle w:val="a3"/>
                    <w:rPr>
                      <w:color w:val="000000"/>
                      <w:sz w:val="20"/>
                      <w:szCs w:val="20"/>
                      <w:lang w:val="kk-KZ"/>
                    </w:rPr>
                  </w:pPr>
                  <w:r w:rsidRPr="001F6363">
                    <w:rPr>
                      <w:sz w:val="20"/>
                      <w:szCs w:val="20"/>
                    </w:rPr>
                    <w:t>( 28+/-2 г/м</w:t>
                  </w:r>
                  <w:proofErr w:type="gramStart"/>
                  <w:r w:rsidRPr="001F6363">
                    <w:rPr>
                      <w:sz w:val="20"/>
                      <w:szCs w:val="20"/>
                    </w:rPr>
                    <w:t>2</w:t>
                  </w:r>
                  <w:proofErr w:type="gramEnd"/>
                  <w:r w:rsidRPr="001F6363">
                    <w:rPr>
                      <w:sz w:val="20"/>
                      <w:szCs w:val="20"/>
                    </w:rPr>
                    <w:t xml:space="preserve"> </w:t>
                  </w:r>
                  <w:proofErr w:type="spellStart"/>
                  <w:r w:rsidRPr="001F6363">
                    <w:rPr>
                      <w:sz w:val="20"/>
                      <w:szCs w:val="20"/>
                    </w:rPr>
                    <w:t>шир</w:t>
                  </w:r>
                  <w:proofErr w:type="spellEnd"/>
                  <w:r w:rsidRPr="001F6363">
                    <w:rPr>
                      <w:sz w:val="20"/>
                      <w:szCs w:val="20"/>
                    </w:rPr>
                    <w:t xml:space="preserve"> 90см)</w:t>
                  </w:r>
                </w:p>
                <w:p w:rsidR="00BF568C" w:rsidRPr="001F6363" w:rsidRDefault="00BF568C" w:rsidP="00B82819">
                  <w:pPr>
                    <w:pStyle w:val="a3"/>
                    <w:rPr>
                      <w:sz w:val="20"/>
                      <w:szCs w:val="20"/>
                    </w:rPr>
                  </w:pPr>
                  <w:r w:rsidRPr="001F6363">
                    <w:rPr>
                      <w:sz w:val="20"/>
                      <w:szCs w:val="20"/>
                    </w:rPr>
                    <w:t xml:space="preserve"> </w:t>
                  </w:r>
                </w:p>
              </w:tc>
              <w:tc>
                <w:tcPr>
                  <w:tcW w:w="2835" w:type="dxa"/>
                  <w:tcBorders>
                    <w:top w:val="single" w:sz="4" w:space="0" w:color="auto"/>
                    <w:left w:val="single" w:sz="4" w:space="0" w:color="auto"/>
                    <w:bottom w:val="single" w:sz="4" w:space="0" w:color="auto"/>
                    <w:right w:val="nil"/>
                  </w:tcBorders>
                </w:tcPr>
                <w:p w:rsidR="00BF568C" w:rsidRPr="001F6363" w:rsidRDefault="00BF568C" w:rsidP="00B82819">
                  <w:pPr>
                    <w:pStyle w:val="a3"/>
                    <w:rPr>
                      <w:color w:val="000000"/>
                      <w:sz w:val="20"/>
                      <w:szCs w:val="20"/>
                      <w:lang w:val="kk-KZ"/>
                    </w:rPr>
                  </w:pPr>
                  <w:r w:rsidRPr="001F6363">
                    <w:rPr>
                      <w:color w:val="000000"/>
                      <w:sz w:val="20"/>
                      <w:szCs w:val="20"/>
                    </w:rPr>
                    <w:t>Марля</w:t>
                  </w:r>
                  <w:r w:rsidRPr="001F6363">
                    <w:rPr>
                      <w:color w:val="000000"/>
                      <w:sz w:val="20"/>
                      <w:szCs w:val="20"/>
                      <w:lang w:val="kk-KZ"/>
                    </w:rPr>
                    <w:t xml:space="preserve"> медицинская</w:t>
                  </w:r>
                </w:p>
                <w:p w:rsidR="00BF568C" w:rsidRPr="001F6363" w:rsidRDefault="00BF568C" w:rsidP="00B82819">
                  <w:pPr>
                    <w:pStyle w:val="a3"/>
                    <w:rPr>
                      <w:sz w:val="20"/>
                      <w:szCs w:val="20"/>
                    </w:rPr>
                  </w:pPr>
                  <w:r w:rsidRPr="001F6363">
                    <w:rPr>
                      <w:sz w:val="20"/>
                      <w:szCs w:val="20"/>
                    </w:rPr>
                    <w:t xml:space="preserve">Марля </w:t>
                  </w:r>
                  <w:proofErr w:type="spellStart"/>
                  <w:r w:rsidRPr="001F6363">
                    <w:rPr>
                      <w:sz w:val="20"/>
                      <w:szCs w:val="20"/>
                    </w:rPr>
                    <w:t>мед</w:t>
                  </w:r>
                  <w:proofErr w:type="gramStart"/>
                  <w:r w:rsidRPr="001F6363">
                    <w:rPr>
                      <w:sz w:val="20"/>
                      <w:szCs w:val="20"/>
                    </w:rPr>
                    <w:t>.о</w:t>
                  </w:r>
                  <w:proofErr w:type="gramEnd"/>
                  <w:r w:rsidRPr="001F6363">
                    <w:rPr>
                      <w:sz w:val="20"/>
                      <w:szCs w:val="20"/>
                    </w:rPr>
                    <w:t>тбеленная</w:t>
                  </w:r>
                  <w:proofErr w:type="spellEnd"/>
                  <w:r w:rsidRPr="001F6363">
                    <w:rPr>
                      <w:sz w:val="20"/>
                      <w:szCs w:val="20"/>
                    </w:rPr>
                    <w:t xml:space="preserve"> ( 28+/-2 г/м2 </w:t>
                  </w:r>
                  <w:proofErr w:type="spellStart"/>
                  <w:r w:rsidRPr="001F6363">
                    <w:rPr>
                      <w:sz w:val="20"/>
                      <w:szCs w:val="20"/>
                    </w:rPr>
                    <w:t>шир</w:t>
                  </w:r>
                  <w:proofErr w:type="spellEnd"/>
                  <w:r w:rsidRPr="001F6363">
                    <w:rPr>
                      <w:sz w:val="20"/>
                      <w:szCs w:val="20"/>
                    </w:rPr>
                    <w:t xml:space="preserve"> 90см)</w:t>
                  </w:r>
                </w:p>
              </w:tc>
              <w:tc>
                <w:tcPr>
                  <w:tcW w:w="850" w:type="dxa"/>
                  <w:tcBorders>
                    <w:top w:val="single" w:sz="4" w:space="0" w:color="auto"/>
                    <w:left w:val="single" w:sz="4" w:space="0" w:color="auto"/>
                    <w:bottom w:val="single" w:sz="4" w:space="0" w:color="auto"/>
                    <w:right w:val="nil"/>
                  </w:tcBorders>
                  <w:hideMark/>
                </w:tcPr>
                <w:p w:rsidR="00BF568C" w:rsidRPr="001F6363" w:rsidRDefault="00BF568C" w:rsidP="00B82819">
                  <w:pPr>
                    <w:pStyle w:val="a3"/>
                    <w:rPr>
                      <w:sz w:val="20"/>
                      <w:szCs w:val="20"/>
                      <w:lang w:val="kk-KZ" w:eastAsia="ru-RU"/>
                    </w:rPr>
                  </w:pPr>
                  <w:r w:rsidRPr="001F6363">
                    <w:rPr>
                      <w:sz w:val="20"/>
                      <w:szCs w:val="20"/>
                      <w:lang w:val="kk-KZ" w:eastAsia="ru-RU"/>
                    </w:rPr>
                    <w:t>метр</w:t>
                  </w:r>
                </w:p>
              </w:tc>
              <w:tc>
                <w:tcPr>
                  <w:tcW w:w="851" w:type="dxa"/>
                  <w:tcBorders>
                    <w:top w:val="single" w:sz="4" w:space="0" w:color="auto"/>
                    <w:left w:val="single" w:sz="4" w:space="0" w:color="auto"/>
                    <w:bottom w:val="single" w:sz="4" w:space="0" w:color="auto"/>
                    <w:right w:val="nil"/>
                  </w:tcBorders>
                  <w:hideMark/>
                </w:tcPr>
                <w:p w:rsidR="00BF568C" w:rsidRPr="001F6363" w:rsidRDefault="00BF568C" w:rsidP="00B82819">
                  <w:pPr>
                    <w:pStyle w:val="a3"/>
                    <w:rPr>
                      <w:sz w:val="20"/>
                      <w:szCs w:val="20"/>
                      <w:lang w:val="kk-KZ" w:eastAsia="ru-RU"/>
                    </w:rPr>
                  </w:pPr>
                  <w:r w:rsidRPr="001F6363">
                    <w:rPr>
                      <w:sz w:val="20"/>
                      <w:szCs w:val="20"/>
                      <w:lang w:val="kk-KZ" w:eastAsia="ru-RU"/>
                    </w:rPr>
                    <w:t>80 000</w:t>
                  </w:r>
                </w:p>
              </w:tc>
              <w:tc>
                <w:tcPr>
                  <w:tcW w:w="1134" w:type="dxa"/>
                  <w:tcBorders>
                    <w:top w:val="single" w:sz="4" w:space="0" w:color="auto"/>
                    <w:left w:val="single" w:sz="4" w:space="0" w:color="auto"/>
                    <w:bottom w:val="single" w:sz="4" w:space="0" w:color="auto"/>
                    <w:right w:val="nil"/>
                  </w:tcBorders>
                  <w:vAlign w:val="center"/>
                  <w:hideMark/>
                </w:tcPr>
                <w:p w:rsidR="00BF568C" w:rsidRPr="001F6363" w:rsidRDefault="00BF568C" w:rsidP="00B82819">
                  <w:pPr>
                    <w:pStyle w:val="a3"/>
                    <w:rPr>
                      <w:sz w:val="20"/>
                      <w:szCs w:val="20"/>
                      <w:lang w:val="kk-KZ" w:eastAsia="ru-RU"/>
                    </w:rPr>
                  </w:pPr>
                  <w:r w:rsidRPr="001F6363">
                    <w:rPr>
                      <w:sz w:val="20"/>
                      <w:szCs w:val="20"/>
                      <w:lang w:val="kk-KZ" w:eastAsia="ru-RU"/>
                    </w:rPr>
                    <w:t>104,0</w:t>
                  </w:r>
                </w:p>
              </w:tc>
              <w:tc>
                <w:tcPr>
                  <w:tcW w:w="1507"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val="en-US" w:eastAsia="ru-RU"/>
                    </w:rPr>
                  </w:pPr>
                  <w:r w:rsidRPr="001F6363">
                    <w:rPr>
                      <w:sz w:val="20"/>
                      <w:szCs w:val="20"/>
                      <w:lang w:val="kk-KZ" w:eastAsia="ru-RU"/>
                    </w:rPr>
                    <w:t>8 320 000,00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2</w:t>
                  </w:r>
                </w:p>
              </w:tc>
              <w:tc>
                <w:tcPr>
                  <w:tcW w:w="2268" w:type="dxa"/>
                  <w:tcBorders>
                    <w:top w:val="single" w:sz="4" w:space="0" w:color="auto"/>
                    <w:left w:val="single" w:sz="4" w:space="0" w:color="auto"/>
                    <w:bottom w:val="single" w:sz="4" w:space="0" w:color="auto"/>
                    <w:right w:val="nil"/>
                  </w:tcBorders>
                  <w:hideMark/>
                </w:tcPr>
                <w:p w:rsidR="00BF568C" w:rsidRPr="001F6363" w:rsidRDefault="00BF568C" w:rsidP="00B82819">
                  <w:pPr>
                    <w:pStyle w:val="a3"/>
                    <w:rPr>
                      <w:color w:val="000000"/>
                      <w:sz w:val="20"/>
                      <w:szCs w:val="20"/>
                    </w:rPr>
                  </w:pPr>
                  <w:r w:rsidRPr="001F6363">
                    <w:rPr>
                      <w:color w:val="000000"/>
                      <w:sz w:val="20"/>
                      <w:szCs w:val="20"/>
                    </w:rPr>
                    <w:t xml:space="preserve">Набор для </w:t>
                  </w:r>
                  <w:proofErr w:type="spellStart"/>
                  <w:r w:rsidRPr="001F6363">
                    <w:rPr>
                      <w:color w:val="000000"/>
                      <w:sz w:val="20"/>
                      <w:szCs w:val="20"/>
                    </w:rPr>
                    <w:t>небулайзера</w:t>
                  </w:r>
                  <w:proofErr w:type="spellEnd"/>
                  <w:r w:rsidRPr="001F6363">
                    <w:rPr>
                      <w:color w:val="000000"/>
                      <w:sz w:val="20"/>
                      <w:szCs w:val="20"/>
                    </w:rPr>
                    <w:t xml:space="preserve"> детский</w:t>
                  </w:r>
                </w:p>
              </w:tc>
              <w:tc>
                <w:tcPr>
                  <w:tcW w:w="2835" w:type="dxa"/>
                  <w:tcBorders>
                    <w:top w:val="single" w:sz="4" w:space="0" w:color="auto"/>
                    <w:left w:val="single" w:sz="4" w:space="0" w:color="auto"/>
                    <w:bottom w:val="single" w:sz="4" w:space="0" w:color="auto"/>
                    <w:right w:val="nil"/>
                  </w:tcBorders>
                </w:tcPr>
                <w:p w:rsidR="00BF568C" w:rsidRPr="001F6363" w:rsidRDefault="00BF568C" w:rsidP="00B82819">
                  <w:pPr>
                    <w:pStyle w:val="a3"/>
                    <w:rPr>
                      <w:color w:val="000000"/>
                      <w:sz w:val="20"/>
                      <w:szCs w:val="20"/>
                    </w:rPr>
                  </w:pPr>
                  <w:r w:rsidRPr="001F6363">
                    <w:rPr>
                      <w:color w:val="000000"/>
                      <w:sz w:val="20"/>
                      <w:szCs w:val="20"/>
                    </w:rPr>
                    <w:t xml:space="preserve">Набор для </w:t>
                  </w:r>
                  <w:proofErr w:type="spellStart"/>
                  <w:r w:rsidRPr="001F6363">
                    <w:rPr>
                      <w:color w:val="000000"/>
                      <w:sz w:val="20"/>
                      <w:szCs w:val="20"/>
                    </w:rPr>
                    <w:t>небулайзера</w:t>
                  </w:r>
                  <w:proofErr w:type="spellEnd"/>
                  <w:r w:rsidRPr="001F6363">
                    <w:rPr>
                      <w:color w:val="000000"/>
                      <w:sz w:val="20"/>
                      <w:szCs w:val="20"/>
                    </w:rPr>
                    <w:t xml:space="preserve"> детский</w:t>
                  </w:r>
                  <w:r>
                    <w:rPr>
                      <w:color w:val="000000"/>
                      <w:sz w:val="20"/>
                      <w:szCs w:val="20"/>
                    </w:rPr>
                    <w:t xml:space="preserve"> </w:t>
                  </w:r>
                  <w:r w:rsidRPr="001F6363">
                    <w:rPr>
                      <w:color w:val="000000"/>
                      <w:sz w:val="20"/>
                      <w:szCs w:val="20"/>
                    </w:rPr>
                    <w:t>стаканчик</w:t>
                  </w:r>
                  <w:r>
                    <w:rPr>
                      <w:color w:val="000000"/>
                      <w:sz w:val="20"/>
                      <w:szCs w:val="20"/>
                    </w:rPr>
                    <w:t>,</w:t>
                  </w:r>
                  <w:r w:rsidRPr="001F6363">
                    <w:rPr>
                      <w:color w:val="000000"/>
                      <w:sz w:val="20"/>
                      <w:szCs w:val="20"/>
                    </w:rPr>
                    <w:t xml:space="preserve"> маска</w:t>
                  </w:r>
                  <w:r>
                    <w:rPr>
                      <w:color w:val="000000"/>
                      <w:sz w:val="20"/>
                      <w:szCs w:val="20"/>
                    </w:rPr>
                    <w:t>,</w:t>
                  </w:r>
                  <w:r w:rsidRPr="001F6363">
                    <w:rPr>
                      <w:color w:val="000000"/>
                      <w:sz w:val="20"/>
                      <w:szCs w:val="20"/>
                    </w:rPr>
                    <w:t xml:space="preserve"> шланг</w:t>
                  </w:r>
                </w:p>
              </w:tc>
              <w:tc>
                <w:tcPr>
                  <w:tcW w:w="850" w:type="dxa"/>
                  <w:tcBorders>
                    <w:top w:val="single" w:sz="4" w:space="0" w:color="auto"/>
                    <w:left w:val="single" w:sz="4" w:space="0" w:color="auto"/>
                    <w:bottom w:val="single" w:sz="4" w:space="0" w:color="auto"/>
                    <w:right w:val="nil"/>
                  </w:tcBorders>
                  <w:hideMark/>
                </w:tcPr>
                <w:p w:rsidR="00BF568C" w:rsidRPr="001F6363" w:rsidRDefault="00BF568C" w:rsidP="00B82819">
                  <w:pPr>
                    <w:pStyle w:val="a3"/>
                    <w:rPr>
                      <w:sz w:val="20"/>
                      <w:szCs w:val="20"/>
                      <w:lang w:val="kk-KZ" w:eastAsia="ru-RU"/>
                    </w:rPr>
                  </w:pPr>
                  <w:r>
                    <w:rPr>
                      <w:sz w:val="20"/>
                      <w:szCs w:val="20"/>
                      <w:lang w:val="kk-KZ" w:eastAsia="ru-RU"/>
                    </w:rPr>
                    <w:t>набор</w:t>
                  </w:r>
                </w:p>
              </w:tc>
              <w:tc>
                <w:tcPr>
                  <w:tcW w:w="851" w:type="dxa"/>
                  <w:tcBorders>
                    <w:top w:val="single" w:sz="4" w:space="0" w:color="auto"/>
                    <w:left w:val="single" w:sz="4" w:space="0" w:color="auto"/>
                    <w:bottom w:val="single" w:sz="4" w:space="0" w:color="auto"/>
                    <w:right w:val="nil"/>
                  </w:tcBorders>
                  <w:hideMark/>
                </w:tcPr>
                <w:p w:rsidR="00BF568C" w:rsidRPr="001F6363" w:rsidRDefault="00BF568C" w:rsidP="00B82819">
                  <w:pPr>
                    <w:pStyle w:val="a3"/>
                    <w:rPr>
                      <w:sz w:val="20"/>
                      <w:szCs w:val="20"/>
                      <w:lang w:val="kk-KZ" w:eastAsia="ru-RU"/>
                    </w:rPr>
                  </w:pPr>
                  <w:r>
                    <w:rPr>
                      <w:sz w:val="20"/>
                      <w:szCs w:val="20"/>
                      <w:lang w:val="kk-KZ" w:eastAsia="ru-RU"/>
                    </w:rPr>
                    <w:t>5000</w:t>
                  </w:r>
                </w:p>
              </w:tc>
              <w:tc>
                <w:tcPr>
                  <w:tcW w:w="1134" w:type="dxa"/>
                  <w:tcBorders>
                    <w:top w:val="single" w:sz="4" w:space="0" w:color="auto"/>
                    <w:left w:val="single" w:sz="4" w:space="0" w:color="auto"/>
                    <w:bottom w:val="single" w:sz="4" w:space="0" w:color="auto"/>
                    <w:right w:val="nil"/>
                  </w:tcBorders>
                  <w:vAlign w:val="center"/>
                  <w:hideMark/>
                </w:tcPr>
                <w:p w:rsidR="00BF568C" w:rsidRPr="001F6363" w:rsidRDefault="00BF568C" w:rsidP="00B82819">
                  <w:pPr>
                    <w:pStyle w:val="a3"/>
                    <w:rPr>
                      <w:sz w:val="20"/>
                      <w:szCs w:val="20"/>
                      <w:lang w:val="kk-KZ" w:eastAsia="ru-RU"/>
                    </w:rPr>
                  </w:pPr>
                  <w:r>
                    <w:rPr>
                      <w:sz w:val="20"/>
                      <w:szCs w:val="20"/>
                      <w:lang w:val="kk-KZ" w:eastAsia="ru-RU"/>
                    </w:rPr>
                    <w:t>3025</w:t>
                  </w:r>
                </w:p>
              </w:tc>
              <w:tc>
                <w:tcPr>
                  <w:tcW w:w="1507"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val="kk-KZ" w:eastAsia="ru-RU"/>
                    </w:rPr>
                  </w:pPr>
                  <w:r>
                    <w:rPr>
                      <w:sz w:val="20"/>
                      <w:szCs w:val="20"/>
                      <w:lang w:val="kk-KZ" w:eastAsia="ru-RU"/>
                    </w:rPr>
                    <w:t>15 125 000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3</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r w:rsidRPr="002809F8">
                    <w:rPr>
                      <w:color w:val="000000"/>
                      <w:sz w:val="20"/>
                      <w:szCs w:val="20"/>
                    </w:rPr>
                    <w:t>Контрольная кровь Р80</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Контрольная кровь для гематологического анализатора </w:t>
                  </w:r>
                  <w:proofErr w:type="spellStart"/>
                  <w:r w:rsidRPr="002809F8">
                    <w:rPr>
                      <w:color w:val="000000"/>
                      <w:sz w:val="20"/>
                      <w:szCs w:val="20"/>
                    </w:rPr>
                    <w:t>Pentra</w:t>
                  </w:r>
                  <w:proofErr w:type="spellEnd"/>
                  <w:r w:rsidRPr="002809F8">
                    <w:rPr>
                      <w:color w:val="000000"/>
                      <w:sz w:val="20"/>
                      <w:szCs w:val="20"/>
                    </w:rPr>
                    <w:t xml:space="preserve"> 80xl</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флак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60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125 000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7 500 000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4</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r w:rsidRPr="002809F8">
                    <w:rPr>
                      <w:color w:val="000000"/>
                      <w:sz w:val="20"/>
                      <w:szCs w:val="20"/>
                    </w:rPr>
                    <w:t>Изотонический Р80</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Буферный изотонический раствор, предназначенный для использования при проведении диагностики </w:t>
                  </w:r>
                  <w:proofErr w:type="spellStart"/>
                  <w:r w:rsidRPr="002809F8">
                    <w:rPr>
                      <w:color w:val="000000"/>
                      <w:sz w:val="20"/>
                      <w:szCs w:val="20"/>
                    </w:rPr>
                    <w:t>in</w:t>
                  </w:r>
                  <w:proofErr w:type="spellEnd"/>
                  <w:r w:rsidRPr="002809F8">
                    <w:rPr>
                      <w:color w:val="000000"/>
                      <w:sz w:val="20"/>
                      <w:szCs w:val="20"/>
                    </w:rPr>
                    <w:t xml:space="preserve"> </w:t>
                  </w:r>
                  <w:proofErr w:type="spellStart"/>
                  <w:r w:rsidRPr="002809F8">
                    <w:rPr>
                      <w:color w:val="000000"/>
                      <w:sz w:val="20"/>
                      <w:szCs w:val="20"/>
                    </w:rPr>
                    <w:t>vitro</w:t>
                  </w:r>
                  <w:proofErr w:type="spellEnd"/>
                  <w:r w:rsidRPr="002809F8">
                    <w:rPr>
                      <w:color w:val="000000"/>
                      <w:sz w:val="20"/>
                      <w:szCs w:val="20"/>
                    </w:rPr>
                    <w:t xml:space="preserve"> и разработанный для покрытия и разбавления лейкоцитов (WBC), а также для определения и дифференцировки клеток крови, и измерения гематокрита. Предназначено для использования в </w:t>
                  </w:r>
                  <w:proofErr w:type="spellStart"/>
                  <w:r w:rsidRPr="002809F8">
                    <w:rPr>
                      <w:color w:val="000000"/>
                      <w:sz w:val="20"/>
                      <w:szCs w:val="20"/>
                    </w:rPr>
                    <w:t>клиникодиагностических</w:t>
                  </w:r>
                  <w:proofErr w:type="spellEnd"/>
                  <w:r w:rsidRPr="002809F8">
                    <w:rPr>
                      <w:color w:val="000000"/>
                      <w:sz w:val="20"/>
                      <w:szCs w:val="20"/>
                    </w:rPr>
                    <w:t xml:space="preserve"> лабораториях. Для гематологического анализатора </w:t>
                  </w:r>
                  <w:proofErr w:type="spellStart"/>
                  <w:r w:rsidRPr="002809F8">
                    <w:rPr>
                      <w:color w:val="000000"/>
                      <w:sz w:val="20"/>
                      <w:szCs w:val="20"/>
                    </w:rPr>
                    <w:t>Pentra</w:t>
                  </w:r>
                  <w:proofErr w:type="spellEnd"/>
                  <w:r w:rsidRPr="002809F8">
                    <w:rPr>
                      <w:color w:val="000000"/>
                      <w:sz w:val="20"/>
                      <w:szCs w:val="20"/>
                    </w:rPr>
                    <w:t xml:space="preserve"> 80xl</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кан</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200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75 000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4 500 000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5</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proofErr w:type="spellStart"/>
                  <w:r w:rsidRPr="002809F8">
                    <w:rPr>
                      <w:color w:val="000000"/>
                      <w:sz w:val="20"/>
                      <w:szCs w:val="20"/>
                    </w:rPr>
                    <w:t>Лизирующий</w:t>
                  </w:r>
                  <w:proofErr w:type="spellEnd"/>
                  <w:r w:rsidRPr="002809F8">
                    <w:rPr>
                      <w:color w:val="000000"/>
                      <w:sz w:val="20"/>
                      <w:szCs w:val="20"/>
                    </w:rPr>
                    <w:t xml:space="preserve"> раствор базофилы</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proofErr w:type="spellStart"/>
                  <w:r w:rsidRPr="002809F8">
                    <w:rPr>
                      <w:color w:val="000000"/>
                      <w:sz w:val="20"/>
                      <w:szCs w:val="20"/>
                    </w:rPr>
                    <w:t>Лизирующий</w:t>
                  </w:r>
                  <w:proofErr w:type="spellEnd"/>
                  <w:r w:rsidRPr="002809F8">
                    <w:rPr>
                      <w:color w:val="000000"/>
                      <w:sz w:val="20"/>
                      <w:szCs w:val="20"/>
                    </w:rPr>
                    <w:t xml:space="preserve"> раствор, предназначенный для использования в </w:t>
                  </w:r>
                  <w:proofErr w:type="spellStart"/>
                  <w:r w:rsidRPr="002809F8">
                    <w:rPr>
                      <w:color w:val="000000"/>
                      <w:sz w:val="20"/>
                      <w:szCs w:val="20"/>
                    </w:rPr>
                    <w:t>in</w:t>
                  </w:r>
                  <w:proofErr w:type="spellEnd"/>
                  <w:r w:rsidRPr="002809F8">
                    <w:rPr>
                      <w:color w:val="000000"/>
                      <w:sz w:val="20"/>
                      <w:szCs w:val="20"/>
                    </w:rPr>
                    <w:t xml:space="preserve"> </w:t>
                  </w:r>
                  <w:proofErr w:type="spellStart"/>
                  <w:r w:rsidRPr="002809F8">
                    <w:rPr>
                      <w:color w:val="000000"/>
                      <w:sz w:val="20"/>
                      <w:szCs w:val="20"/>
                    </w:rPr>
                    <w:t>vitro</w:t>
                  </w:r>
                  <w:proofErr w:type="spellEnd"/>
                  <w:r w:rsidRPr="002809F8">
                    <w:rPr>
                      <w:color w:val="000000"/>
                      <w:sz w:val="20"/>
                      <w:szCs w:val="20"/>
                    </w:rPr>
                    <w:t xml:space="preserve"> диагностике и разработанный для разрушения эритроцитов (RBC), для подсчета и дифференцировки лейкоцитов (WBC). Для гематологического анализатора </w:t>
                  </w:r>
                  <w:proofErr w:type="spellStart"/>
                  <w:r w:rsidRPr="002809F8">
                    <w:rPr>
                      <w:color w:val="000000"/>
                      <w:sz w:val="20"/>
                      <w:szCs w:val="20"/>
                    </w:rPr>
                    <w:t>Pentra</w:t>
                  </w:r>
                  <w:proofErr w:type="spellEnd"/>
                  <w:r w:rsidRPr="002809F8">
                    <w:rPr>
                      <w:color w:val="000000"/>
                      <w:sz w:val="20"/>
                      <w:szCs w:val="20"/>
                    </w:rPr>
                    <w:t xml:space="preserve"> 80xl</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флак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200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91 500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5 490 000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6</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proofErr w:type="spellStart"/>
                  <w:r w:rsidRPr="002809F8">
                    <w:rPr>
                      <w:color w:val="000000"/>
                      <w:sz w:val="20"/>
                      <w:szCs w:val="20"/>
                    </w:rPr>
                    <w:t>Лизирующий</w:t>
                  </w:r>
                  <w:proofErr w:type="spellEnd"/>
                  <w:r w:rsidRPr="002809F8">
                    <w:rPr>
                      <w:color w:val="000000"/>
                      <w:sz w:val="20"/>
                      <w:szCs w:val="20"/>
                    </w:rPr>
                    <w:t xml:space="preserve"> раствор Р80</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proofErr w:type="spellStart"/>
                  <w:r w:rsidRPr="002809F8">
                    <w:rPr>
                      <w:color w:val="000000"/>
                      <w:sz w:val="20"/>
                      <w:szCs w:val="20"/>
                    </w:rPr>
                    <w:t>Лизирующий</w:t>
                  </w:r>
                  <w:proofErr w:type="spellEnd"/>
                  <w:r w:rsidRPr="002809F8">
                    <w:rPr>
                      <w:color w:val="000000"/>
                      <w:sz w:val="20"/>
                      <w:szCs w:val="20"/>
                    </w:rPr>
                    <w:t xml:space="preserve"> раствор, предназначенный для диагностики </w:t>
                  </w:r>
                  <w:proofErr w:type="spellStart"/>
                  <w:r w:rsidRPr="002809F8">
                    <w:rPr>
                      <w:color w:val="000000"/>
                      <w:sz w:val="20"/>
                      <w:szCs w:val="20"/>
                    </w:rPr>
                    <w:t>in</w:t>
                  </w:r>
                  <w:proofErr w:type="spellEnd"/>
                  <w:r w:rsidRPr="002809F8">
                    <w:rPr>
                      <w:color w:val="000000"/>
                      <w:sz w:val="20"/>
                      <w:szCs w:val="20"/>
                    </w:rPr>
                    <w:t xml:space="preserve"> </w:t>
                  </w:r>
                  <w:proofErr w:type="spellStart"/>
                  <w:r w:rsidRPr="002809F8">
                    <w:rPr>
                      <w:color w:val="000000"/>
                      <w:sz w:val="20"/>
                      <w:szCs w:val="20"/>
                    </w:rPr>
                    <w:t>vitro</w:t>
                  </w:r>
                  <w:proofErr w:type="spellEnd"/>
                  <w:r w:rsidRPr="002809F8">
                    <w:rPr>
                      <w:color w:val="000000"/>
                      <w:sz w:val="20"/>
                      <w:szCs w:val="20"/>
                    </w:rPr>
                    <w:t xml:space="preserve"> и применяемый для лизиса эритроцитов (RBC) с целью подсчета и дифференцировки лейкоцитов (WBC) и определения концентрации гемоглобина. Для гематологического анализатора </w:t>
                  </w:r>
                  <w:proofErr w:type="spellStart"/>
                  <w:r w:rsidRPr="002809F8">
                    <w:rPr>
                      <w:color w:val="000000"/>
                      <w:sz w:val="20"/>
                      <w:szCs w:val="20"/>
                    </w:rPr>
                    <w:t>Pentra</w:t>
                  </w:r>
                  <w:proofErr w:type="spellEnd"/>
                  <w:r w:rsidRPr="002809F8">
                    <w:rPr>
                      <w:color w:val="000000"/>
                      <w:sz w:val="20"/>
                      <w:szCs w:val="20"/>
                    </w:rPr>
                    <w:t xml:space="preserve"> 80xl</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флак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110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93 000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5 580 000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7</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proofErr w:type="spellStart"/>
                  <w:r w:rsidRPr="002809F8">
                    <w:rPr>
                      <w:color w:val="000000"/>
                      <w:sz w:val="20"/>
                      <w:szCs w:val="20"/>
                    </w:rPr>
                    <w:t>Лизирующий</w:t>
                  </w:r>
                  <w:proofErr w:type="spellEnd"/>
                  <w:r w:rsidRPr="002809F8">
                    <w:rPr>
                      <w:color w:val="000000"/>
                      <w:sz w:val="20"/>
                      <w:szCs w:val="20"/>
                    </w:rPr>
                    <w:t xml:space="preserve"> раствор эозинофила</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proofErr w:type="spellStart"/>
                  <w:r w:rsidRPr="002809F8">
                    <w:rPr>
                      <w:color w:val="000000"/>
                      <w:sz w:val="20"/>
                      <w:szCs w:val="20"/>
                    </w:rPr>
                    <w:t>Лизирующий</w:t>
                  </w:r>
                  <w:proofErr w:type="spellEnd"/>
                  <w:r w:rsidRPr="002809F8">
                    <w:rPr>
                      <w:color w:val="000000"/>
                      <w:sz w:val="20"/>
                      <w:szCs w:val="20"/>
                    </w:rPr>
                    <w:t xml:space="preserve"> раствор, предназначенный для использования в </w:t>
                  </w:r>
                  <w:proofErr w:type="spellStart"/>
                  <w:r w:rsidRPr="002809F8">
                    <w:rPr>
                      <w:color w:val="000000"/>
                      <w:sz w:val="20"/>
                      <w:szCs w:val="20"/>
                    </w:rPr>
                    <w:t>in</w:t>
                  </w:r>
                  <w:proofErr w:type="spellEnd"/>
                  <w:r w:rsidRPr="002809F8">
                    <w:rPr>
                      <w:color w:val="000000"/>
                      <w:sz w:val="20"/>
                      <w:szCs w:val="20"/>
                    </w:rPr>
                    <w:t xml:space="preserve"> </w:t>
                  </w:r>
                  <w:proofErr w:type="spellStart"/>
                  <w:r w:rsidRPr="002809F8">
                    <w:rPr>
                      <w:color w:val="000000"/>
                      <w:sz w:val="20"/>
                      <w:szCs w:val="20"/>
                    </w:rPr>
                    <w:t>vitro</w:t>
                  </w:r>
                  <w:proofErr w:type="spellEnd"/>
                  <w:r w:rsidRPr="002809F8">
                    <w:rPr>
                      <w:color w:val="000000"/>
                      <w:sz w:val="20"/>
                      <w:szCs w:val="20"/>
                    </w:rPr>
                    <w:t xml:space="preserve"> диагностике и разработанный для разрушения эритроцитов (RBC), для подсчета и </w:t>
                  </w:r>
                  <w:r w:rsidRPr="002809F8">
                    <w:rPr>
                      <w:color w:val="000000"/>
                      <w:sz w:val="20"/>
                      <w:szCs w:val="20"/>
                    </w:rPr>
                    <w:lastRenderedPageBreak/>
                    <w:t xml:space="preserve">дифференцировки лейкоцитов (WBC) на счетчиках форменных элементов крови. Для гематологического анализатора </w:t>
                  </w:r>
                  <w:proofErr w:type="spellStart"/>
                  <w:r w:rsidRPr="002809F8">
                    <w:rPr>
                      <w:color w:val="000000"/>
                      <w:sz w:val="20"/>
                      <w:szCs w:val="20"/>
                    </w:rPr>
                    <w:t>Pentra</w:t>
                  </w:r>
                  <w:proofErr w:type="spellEnd"/>
                  <w:r w:rsidRPr="002809F8">
                    <w:rPr>
                      <w:color w:val="000000"/>
                      <w:sz w:val="20"/>
                      <w:szCs w:val="20"/>
                    </w:rPr>
                    <w:t xml:space="preserve"> 80xl</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lastRenderedPageBreak/>
                    <w:t>флак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110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99 000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5 940 000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lastRenderedPageBreak/>
                    <w:t>8</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r w:rsidRPr="002809F8">
                    <w:rPr>
                      <w:color w:val="000000"/>
                      <w:sz w:val="20"/>
                      <w:szCs w:val="20"/>
                    </w:rPr>
                    <w:t>Холестерин высокой плотности</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Реагент предназначен для диагностического количественного определения </w:t>
                  </w:r>
                  <w:proofErr w:type="spellStart"/>
                  <w:r w:rsidRPr="002809F8">
                    <w:rPr>
                      <w:color w:val="000000"/>
                      <w:sz w:val="20"/>
                      <w:szCs w:val="20"/>
                    </w:rPr>
                    <w:t>in</w:t>
                  </w:r>
                  <w:proofErr w:type="spellEnd"/>
                  <w:r w:rsidRPr="002809F8">
                    <w:rPr>
                      <w:color w:val="000000"/>
                      <w:sz w:val="20"/>
                      <w:szCs w:val="20"/>
                    </w:rPr>
                    <w:t xml:space="preserve"> </w:t>
                  </w:r>
                  <w:proofErr w:type="spellStart"/>
                  <w:r w:rsidRPr="002809F8">
                    <w:rPr>
                      <w:color w:val="000000"/>
                      <w:sz w:val="20"/>
                      <w:szCs w:val="20"/>
                    </w:rPr>
                    <w:t>vitro</w:t>
                  </w:r>
                  <w:proofErr w:type="spellEnd"/>
                  <w:r w:rsidRPr="002809F8">
                    <w:rPr>
                      <w:color w:val="000000"/>
                      <w:sz w:val="20"/>
                      <w:szCs w:val="20"/>
                    </w:rPr>
                    <w:t xml:space="preserve"> холестерина </w:t>
                  </w:r>
                  <w:proofErr w:type="spellStart"/>
                  <w:r w:rsidRPr="002809F8">
                    <w:rPr>
                      <w:color w:val="000000"/>
                      <w:sz w:val="20"/>
                      <w:szCs w:val="20"/>
                    </w:rPr>
                    <w:t>липопротеинов</w:t>
                  </w:r>
                  <w:proofErr w:type="spellEnd"/>
                  <w:r w:rsidRPr="002809F8">
                    <w:rPr>
                      <w:color w:val="000000"/>
                      <w:sz w:val="20"/>
                      <w:szCs w:val="20"/>
                    </w:rPr>
                    <w:t xml:space="preserve"> высокой плотности (Х-ЛПВП) в сыворотке и плазме человека крови методом ферментативного анализа с использованием методики </w:t>
                  </w:r>
                  <w:proofErr w:type="spellStart"/>
                  <w:r w:rsidRPr="002809F8">
                    <w:rPr>
                      <w:color w:val="000000"/>
                      <w:sz w:val="20"/>
                      <w:szCs w:val="20"/>
                    </w:rPr>
                    <w:t>катализирования</w:t>
                  </w:r>
                  <w:proofErr w:type="spellEnd"/>
                  <w:r w:rsidRPr="002809F8">
                    <w:rPr>
                      <w:color w:val="000000"/>
                      <w:sz w:val="20"/>
                      <w:szCs w:val="20"/>
                    </w:rPr>
                    <w:t xml:space="preserve"> с селективным детергентом. Уровень </w:t>
                  </w:r>
                  <w:proofErr w:type="spellStart"/>
                  <w:r w:rsidRPr="002809F8">
                    <w:rPr>
                      <w:color w:val="000000"/>
                      <w:sz w:val="20"/>
                      <w:szCs w:val="20"/>
                    </w:rPr>
                    <w:t>липопротеинов</w:t>
                  </w:r>
                  <w:proofErr w:type="spellEnd"/>
                  <w:r w:rsidRPr="002809F8">
                    <w:rPr>
                      <w:color w:val="000000"/>
                      <w:sz w:val="20"/>
                      <w:szCs w:val="20"/>
                    </w:rPr>
                    <w:t xml:space="preserve"> определяют для диагностики и лечения нарушений липидного обмена, атеросклероза и различных заболеваний печени и почек.</w:t>
                  </w:r>
                  <w:r w:rsidRPr="002809F8">
                    <w:rPr>
                      <w:color w:val="000000"/>
                      <w:sz w:val="20"/>
                      <w:szCs w:val="20"/>
                    </w:rPr>
                    <w:br/>
                    <w:t xml:space="preserve">Реагент 1: Буфер </w:t>
                  </w:r>
                  <w:proofErr w:type="spellStart"/>
                  <w:r w:rsidRPr="002809F8">
                    <w:rPr>
                      <w:color w:val="000000"/>
                      <w:sz w:val="20"/>
                      <w:szCs w:val="20"/>
                    </w:rPr>
                    <w:t>Гудса</w:t>
                  </w:r>
                  <w:proofErr w:type="spellEnd"/>
                  <w:r w:rsidRPr="002809F8">
                    <w:rPr>
                      <w:color w:val="000000"/>
                      <w:sz w:val="20"/>
                      <w:szCs w:val="20"/>
                    </w:rPr>
                    <w:t xml:space="preserve"> </w:t>
                  </w:r>
                  <w:proofErr w:type="spellStart"/>
                  <w:r w:rsidRPr="002809F8">
                    <w:rPr>
                      <w:color w:val="000000"/>
                      <w:sz w:val="20"/>
                      <w:szCs w:val="20"/>
                    </w:rPr>
                    <w:t>Холестериноксидаза</w:t>
                  </w:r>
                  <w:proofErr w:type="spellEnd"/>
                  <w:r w:rsidRPr="002809F8">
                    <w:rPr>
                      <w:color w:val="000000"/>
                      <w:sz w:val="20"/>
                      <w:szCs w:val="20"/>
                    </w:rPr>
                    <w:t xml:space="preserve"> &lt; 1000 Е/Л </w:t>
                  </w:r>
                  <w:proofErr w:type="spellStart"/>
                  <w:r w:rsidRPr="002809F8">
                    <w:rPr>
                      <w:color w:val="000000"/>
                      <w:sz w:val="20"/>
                      <w:szCs w:val="20"/>
                    </w:rPr>
                    <w:t>Пероксидаза</w:t>
                  </w:r>
                  <w:proofErr w:type="spellEnd"/>
                  <w:r w:rsidRPr="002809F8">
                    <w:rPr>
                      <w:color w:val="000000"/>
                      <w:sz w:val="20"/>
                      <w:szCs w:val="20"/>
                    </w:rPr>
                    <w:t xml:space="preserve"> &lt; 1300 </w:t>
                  </w:r>
                  <w:proofErr w:type="spellStart"/>
                  <w:r w:rsidRPr="002809F8">
                    <w:rPr>
                      <w:color w:val="000000"/>
                      <w:sz w:val="20"/>
                      <w:szCs w:val="20"/>
                    </w:rPr>
                    <w:t>ппг</w:t>
                  </w:r>
                  <w:proofErr w:type="spellEnd"/>
                  <w:r w:rsidRPr="002809F8">
                    <w:rPr>
                      <w:color w:val="000000"/>
                      <w:sz w:val="20"/>
                      <w:szCs w:val="20"/>
                    </w:rPr>
                    <w:t xml:space="preserve"> Е/Л </w:t>
                  </w:r>
                  <w:proofErr w:type="spellStart"/>
                  <w:r w:rsidRPr="002809F8">
                    <w:rPr>
                      <w:color w:val="000000"/>
                      <w:sz w:val="20"/>
                      <w:szCs w:val="20"/>
                    </w:rPr>
                    <w:t>N,N-бис</w:t>
                  </w:r>
                  <w:proofErr w:type="spellEnd"/>
                  <w:r w:rsidRPr="002809F8">
                    <w:rPr>
                      <w:color w:val="000000"/>
                      <w:sz w:val="20"/>
                      <w:szCs w:val="20"/>
                    </w:rPr>
                    <w:t>(4-сульфобутил</w:t>
                  </w:r>
                  <w:proofErr w:type="gramStart"/>
                  <w:r w:rsidRPr="002809F8">
                    <w:rPr>
                      <w:color w:val="000000"/>
                      <w:sz w:val="20"/>
                      <w:szCs w:val="20"/>
                    </w:rPr>
                    <w:t>)-</w:t>
                  </w:r>
                  <w:proofErr w:type="spellStart"/>
                  <w:proofErr w:type="gramEnd"/>
                  <w:r w:rsidRPr="002809F8">
                    <w:rPr>
                      <w:color w:val="000000"/>
                      <w:sz w:val="20"/>
                      <w:szCs w:val="20"/>
                    </w:rPr>
                    <w:t>м-толуидиндинатрий</w:t>
                  </w:r>
                  <w:proofErr w:type="spellEnd"/>
                  <w:r w:rsidRPr="002809F8">
                    <w:rPr>
                      <w:color w:val="000000"/>
                      <w:sz w:val="20"/>
                      <w:szCs w:val="20"/>
                    </w:rPr>
                    <w:t xml:space="preserve"> (</w:t>
                  </w:r>
                  <w:proofErr w:type="spellStart"/>
                  <w:r w:rsidRPr="002809F8">
                    <w:rPr>
                      <w:color w:val="000000"/>
                      <w:sz w:val="20"/>
                      <w:szCs w:val="20"/>
                    </w:rPr>
                    <w:t>DSBmT</w:t>
                  </w:r>
                  <w:proofErr w:type="spellEnd"/>
                  <w:r w:rsidRPr="002809F8">
                    <w:rPr>
                      <w:color w:val="000000"/>
                      <w:sz w:val="20"/>
                      <w:szCs w:val="20"/>
                    </w:rPr>
                    <w:t>)</w:t>
                  </w:r>
                  <w:r w:rsidRPr="002809F8">
                    <w:rPr>
                      <w:color w:val="000000"/>
                      <w:sz w:val="20"/>
                      <w:szCs w:val="20"/>
                    </w:rPr>
                    <w:br/>
                    <w:t xml:space="preserve">&lt; 1 </w:t>
                  </w:r>
                  <w:proofErr w:type="spellStart"/>
                  <w:r w:rsidRPr="002809F8">
                    <w:rPr>
                      <w:color w:val="000000"/>
                      <w:sz w:val="20"/>
                      <w:szCs w:val="20"/>
                    </w:rPr>
                    <w:t>ммоль</w:t>
                  </w:r>
                  <w:proofErr w:type="spellEnd"/>
                  <w:r w:rsidRPr="002809F8">
                    <w:rPr>
                      <w:color w:val="000000"/>
                      <w:sz w:val="20"/>
                      <w:szCs w:val="20"/>
                    </w:rPr>
                    <w:t xml:space="preserve">/Л Катализатор &lt; 1 </w:t>
                  </w:r>
                  <w:proofErr w:type="spellStart"/>
                  <w:r w:rsidRPr="002809F8">
                    <w:rPr>
                      <w:color w:val="000000"/>
                      <w:sz w:val="20"/>
                      <w:szCs w:val="20"/>
                    </w:rPr>
                    <w:t>ммоль</w:t>
                  </w:r>
                  <w:proofErr w:type="spellEnd"/>
                  <w:r w:rsidRPr="002809F8">
                    <w:rPr>
                      <w:color w:val="000000"/>
                      <w:sz w:val="20"/>
                      <w:szCs w:val="20"/>
                    </w:rPr>
                    <w:t>/Л Реагент 1: Консервант &lt; 0,06%</w:t>
                  </w:r>
                  <w:r w:rsidRPr="002809F8">
                    <w:rPr>
                      <w:color w:val="000000"/>
                      <w:sz w:val="20"/>
                      <w:szCs w:val="20"/>
                    </w:rPr>
                    <w:br/>
                    <w:t>Оксидаза аскорбиновой кислоты &lt; 3000</w:t>
                  </w:r>
                  <w:proofErr w:type="gramStart"/>
                  <w:r w:rsidRPr="002809F8">
                    <w:rPr>
                      <w:color w:val="000000"/>
                      <w:sz w:val="20"/>
                      <w:szCs w:val="20"/>
                    </w:rPr>
                    <w:t xml:space="preserve"> Е</w:t>
                  </w:r>
                  <w:proofErr w:type="gramEnd"/>
                  <w:r w:rsidRPr="002809F8">
                    <w:rPr>
                      <w:color w:val="000000"/>
                      <w:sz w:val="20"/>
                      <w:szCs w:val="20"/>
                    </w:rPr>
                    <w:t xml:space="preserve">/Л Реагент 2: Буфер </w:t>
                  </w:r>
                  <w:proofErr w:type="spellStart"/>
                  <w:r w:rsidRPr="002809F8">
                    <w:rPr>
                      <w:color w:val="000000"/>
                      <w:sz w:val="20"/>
                      <w:szCs w:val="20"/>
                    </w:rPr>
                    <w:t>Гудса</w:t>
                  </w:r>
                  <w:proofErr w:type="spellEnd"/>
                  <w:r w:rsidRPr="002809F8">
                    <w:rPr>
                      <w:color w:val="000000"/>
                      <w:sz w:val="20"/>
                      <w:szCs w:val="20"/>
                    </w:rPr>
                    <w:br/>
                  </w:r>
                  <w:proofErr w:type="spellStart"/>
                  <w:r w:rsidRPr="002809F8">
                    <w:rPr>
                      <w:color w:val="000000"/>
                      <w:sz w:val="20"/>
                      <w:szCs w:val="20"/>
                    </w:rPr>
                    <w:t>Холестеринэстераза</w:t>
                  </w:r>
                  <w:proofErr w:type="spellEnd"/>
                  <w:r w:rsidRPr="002809F8">
                    <w:rPr>
                      <w:color w:val="000000"/>
                      <w:sz w:val="20"/>
                      <w:szCs w:val="20"/>
                    </w:rPr>
                    <w:t xml:space="preserve"> &lt; 1500</w:t>
                  </w:r>
                  <w:proofErr w:type="gramStart"/>
                  <w:r w:rsidRPr="002809F8">
                    <w:rPr>
                      <w:color w:val="000000"/>
                      <w:sz w:val="20"/>
                      <w:szCs w:val="20"/>
                    </w:rPr>
                    <w:t xml:space="preserve"> Е</w:t>
                  </w:r>
                  <w:proofErr w:type="gramEnd"/>
                  <w:r w:rsidRPr="002809F8">
                    <w:rPr>
                      <w:color w:val="000000"/>
                      <w:sz w:val="20"/>
                      <w:szCs w:val="20"/>
                    </w:rPr>
                    <w:t xml:space="preserve">/Л 4-аминоантипирин (4-ААП) &lt; 1 </w:t>
                  </w:r>
                  <w:proofErr w:type="spellStart"/>
                  <w:r w:rsidRPr="002809F8">
                    <w:rPr>
                      <w:color w:val="000000"/>
                      <w:sz w:val="20"/>
                      <w:szCs w:val="20"/>
                    </w:rPr>
                    <w:t>ммоль</w:t>
                  </w:r>
                  <w:proofErr w:type="spellEnd"/>
                  <w:r w:rsidRPr="002809F8">
                    <w:rPr>
                      <w:color w:val="000000"/>
                      <w:sz w:val="20"/>
                      <w:szCs w:val="20"/>
                    </w:rPr>
                    <w:t>/Л</w:t>
                  </w:r>
                  <w:r w:rsidRPr="002809F8">
                    <w:rPr>
                      <w:color w:val="000000"/>
                      <w:sz w:val="20"/>
                      <w:szCs w:val="20"/>
                    </w:rPr>
                    <w:br/>
                    <w:t xml:space="preserve">Детергент &lt; 2% Консервант &lt; 0,06% Для автоматического биохимического анализатора </w:t>
                  </w:r>
                  <w:proofErr w:type="spellStart"/>
                  <w:r w:rsidRPr="002809F8">
                    <w:rPr>
                      <w:color w:val="000000"/>
                      <w:sz w:val="20"/>
                      <w:szCs w:val="20"/>
                    </w:rPr>
                    <w:t>Pentra</w:t>
                  </w:r>
                  <w:proofErr w:type="spellEnd"/>
                  <w:r w:rsidRPr="002809F8">
                    <w:rPr>
                      <w:color w:val="000000"/>
                      <w:sz w:val="20"/>
                      <w:szCs w:val="20"/>
                    </w:rPr>
                    <w:t xml:space="preserve"> C400</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флак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60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185 940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11 156 400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9</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r w:rsidRPr="002809F8">
                    <w:rPr>
                      <w:color w:val="000000"/>
                      <w:sz w:val="20"/>
                      <w:szCs w:val="20"/>
                    </w:rPr>
                    <w:t>Холестерин низкой плотности</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Реагент предназначен для диагностического количественного определения </w:t>
                  </w:r>
                  <w:proofErr w:type="spellStart"/>
                  <w:r w:rsidRPr="002809F8">
                    <w:rPr>
                      <w:color w:val="000000"/>
                      <w:sz w:val="20"/>
                      <w:szCs w:val="20"/>
                    </w:rPr>
                    <w:t>in</w:t>
                  </w:r>
                  <w:proofErr w:type="spellEnd"/>
                  <w:r w:rsidRPr="002809F8">
                    <w:rPr>
                      <w:color w:val="000000"/>
                      <w:sz w:val="20"/>
                      <w:szCs w:val="20"/>
                    </w:rPr>
                    <w:t xml:space="preserve"> </w:t>
                  </w:r>
                  <w:proofErr w:type="spellStart"/>
                  <w:r w:rsidRPr="002809F8">
                    <w:rPr>
                      <w:color w:val="000000"/>
                      <w:sz w:val="20"/>
                      <w:szCs w:val="20"/>
                    </w:rPr>
                    <w:t>vitro</w:t>
                  </w:r>
                  <w:proofErr w:type="spellEnd"/>
                  <w:r w:rsidRPr="002809F8">
                    <w:rPr>
                      <w:color w:val="000000"/>
                      <w:sz w:val="20"/>
                      <w:szCs w:val="20"/>
                    </w:rPr>
                    <w:t xml:space="preserve"> холестерина </w:t>
                  </w:r>
                  <w:proofErr w:type="spellStart"/>
                  <w:r w:rsidRPr="002809F8">
                    <w:rPr>
                      <w:color w:val="000000"/>
                      <w:sz w:val="20"/>
                      <w:szCs w:val="20"/>
                    </w:rPr>
                    <w:t>липопротеинов</w:t>
                  </w:r>
                  <w:proofErr w:type="spellEnd"/>
                  <w:r w:rsidRPr="002809F8">
                    <w:rPr>
                      <w:color w:val="000000"/>
                      <w:sz w:val="20"/>
                      <w:szCs w:val="20"/>
                    </w:rPr>
                    <w:t xml:space="preserve"> низкой плотности (Х-ЛПНП) в сыворотке и плазме крови человека методом ферментативного колориметрического анализа. Уровень </w:t>
                  </w:r>
                  <w:proofErr w:type="spellStart"/>
                  <w:r w:rsidRPr="002809F8">
                    <w:rPr>
                      <w:color w:val="000000"/>
                      <w:sz w:val="20"/>
                      <w:szCs w:val="20"/>
                    </w:rPr>
                    <w:t>липопротеинов</w:t>
                  </w:r>
                  <w:proofErr w:type="spellEnd"/>
                  <w:r w:rsidRPr="002809F8">
                    <w:rPr>
                      <w:color w:val="000000"/>
                      <w:sz w:val="20"/>
                      <w:szCs w:val="20"/>
                    </w:rPr>
                    <w:t xml:space="preserve"> определяют для диагностики и лечения нарушений липидного обмена, атеросклероза и различных заболеваний печени и почек.</w:t>
                  </w:r>
                  <w:r w:rsidRPr="002809F8">
                    <w:rPr>
                      <w:color w:val="000000"/>
                      <w:sz w:val="20"/>
                      <w:szCs w:val="20"/>
                    </w:rPr>
                    <w:br/>
                    <w:t xml:space="preserve">Реагент 1: Буфер MES, </w:t>
                  </w:r>
                  <w:proofErr w:type="spellStart"/>
                  <w:r w:rsidRPr="002809F8">
                    <w:rPr>
                      <w:color w:val="000000"/>
                      <w:sz w:val="20"/>
                      <w:szCs w:val="20"/>
                    </w:rPr>
                    <w:t>pH</w:t>
                  </w:r>
                  <w:proofErr w:type="spellEnd"/>
                  <w:r w:rsidRPr="002809F8">
                    <w:rPr>
                      <w:color w:val="000000"/>
                      <w:sz w:val="20"/>
                      <w:szCs w:val="20"/>
                    </w:rPr>
                    <w:t xml:space="preserve"> 6,3 Детергент 1 &lt; 1,0% </w:t>
                  </w:r>
                  <w:proofErr w:type="spellStart"/>
                  <w:r w:rsidRPr="002809F8">
                    <w:rPr>
                      <w:color w:val="000000"/>
                      <w:sz w:val="20"/>
                      <w:szCs w:val="20"/>
                    </w:rPr>
                    <w:t>Холестеринэстераза</w:t>
                  </w:r>
                  <w:proofErr w:type="spellEnd"/>
                  <w:r w:rsidRPr="002809F8">
                    <w:rPr>
                      <w:color w:val="000000"/>
                      <w:sz w:val="20"/>
                      <w:szCs w:val="20"/>
                    </w:rPr>
                    <w:t xml:space="preserve"> &lt; 1500</w:t>
                  </w:r>
                  <w:proofErr w:type="gramStart"/>
                  <w:r w:rsidRPr="002809F8">
                    <w:rPr>
                      <w:color w:val="000000"/>
                      <w:sz w:val="20"/>
                      <w:szCs w:val="20"/>
                    </w:rPr>
                    <w:t xml:space="preserve"> Е</w:t>
                  </w:r>
                  <w:proofErr w:type="gramEnd"/>
                  <w:r w:rsidRPr="002809F8">
                    <w:rPr>
                      <w:color w:val="000000"/>
                      <w:sz w:val="20"/>
                      <w:szCs w:val="20"/>
                    </w:rPr>
                    <w:t xml:space="preserve">/Л </w:t>
                  </w:r>
                  <w:proofErr w:type="spellStart"/>
                  <w:r w:rsidRPr="002809F8">
                    <w:rPr>
                      <w:color w:val="000000"/>
                      <w:sz w:val="20"/>
                      <w:szCs w:val="20"/>
                    </w:rPr>
                    <w:t>Холестериноксидаза</w:t>
                  </w:r>
                  <w:proofErr w:type="spellEnd"/>
                  <w:r w:rsidRPr="002809F8">
                    <w:rPr>
                      <w:color w:val="000000"/>
                      <w:sz w:val="20"/>
                      <w:szCs w:val="20"/>
                    </w:rPr>
                    <w:t xml:space="preserve"> &lt; 1500 Е/Л </w:t>
                  </w:r>
                  <w:proofErr w:type="spellStart"/>
                  <w:r w:rsidRPr="002809F8">
                    <w:rPr>
                      <w:color w:val="000000"/>
                      <w:sz w:val="20"/>
                      <w:szCs w:val="20"/>
                    </w:rPr>
                    <w:t>Пероксидаза</w:t>
                  </w:r>
                  <w:proofErr w:type="spellEnd"/>
                  <w:r w:rsidRPr="002809F8">
                    <w:rPr>
                      <w:color w:val="000000"/>
                      <w:sz w:val="20"/>
                      <w:szCs w:val="20"/>
                    </w:rPr>
                    <w:t xml:space="preserve"> &lt; 1300 фунтов на галлон Е/Л 4-аминоантипирин &lt; 0,1% Оксидаза аскорбиновой кислоты &lt; 3000 Е/Л </w:t>
                  </w:r>
                  <w:r w:rsidRPr="002809F8">
                    <w:rPr>
                      <w:color w:val="000000"/>
                      <w:sz w:val="20"/>
                      <w:szCs w:val="20"/>
                    </w:rPr>
                    <w:lastRenderedPageBreak/>
                    <w:t xml:space="preserve">Консервант Реагент 2: Буфер MES, </w:t>
                  </w:r>
                  <w:proofErr w:type="spellStart"/>
                  <w:r w:rsidRPr="002809F8">
                    <w:rPr>
                      <w:color w:val="000000"/>
                      <w:sz w:val="20"/>
                      <w:szCs w:val="20"/>
                    </w:rPr>
                    <w:t>pH</w:t>
                  </w:r>
                  <w:proofErr w:type="spellEnd"/>
                  <w:r w:rsidRPr="002809F8">
                    <w:rPr>
                      <w:color w:val="000000"/>
                      <w:sz w:val="20"/>
                      <w:szCs w:val="20"/>
                    </w:rPr>
                    <w:t xml:space="preserve"> 6,3 Детергент 2 &lt; 1,0%</w:t>
                  </w:r>
                  <w:r w:rsidRPr="002809F8">
                    <w:rPr>
                      <w:color w:val="000000"/>
                      <w:sz w:val="20"/>
                      <w:szCs w:val="20"/>
                    </w:rPr>
                    <w:br/>
                  </w:r>
                  <w:proofErr w:type="spellStart"/>
                  <w:r w:rsidRPr="002809F8">
                    <w:rPr>
                      <w:color w:val="000000"/>
                      <w:sz w:val="20"/>
                      <w:szCs w:val="20"/>
                    </w:rPr>
                    <w:t>N,N-бис</w:t>
                  </w:r>
                  <w:proofErr w:type="spellEnd"/>
                  <w:r w:rsidRPr="002809F8">
                    <w:rPr>
                      <w:color w:val="000000"/>
                      <w:sz w:val="20"/>
                      <w:szCs w:val="20"/>
                    </w:rPr>
                    <w:t xml:space="preserve">(4-сульфобутил)- </w:t>
                  </w:r>
                  <w:proofErr w:type="spellStart"/>
                  <w:r w:rsidRPr="002809F8">
                    <w:rPr>
                      <w:color w:val="000000"/>
                      <w:sz w:val="20"/>
                      <w:szCs w:val="20"/>
                    </w:rPr>
                    <w:t>толуидиндинатрий</w:t>
                  </w:r>
                  <w:proofErr w:type="spellEnd"/>
                  <w:r w:rsidRPr="002809F8">
                    <w:rPr>
                      <w:color w:val="000000"/>
                      <w:sz w:val="20"/>
                      <w:szCs w:val="20"/>
                    </w:rPr>
                    <w:t xml:space="preserve"> (</w:t>
                  </w:r>
                  <w:proofErr w:type="spellStart"/>
                  <w:r w:rsidRPr="002809F8">
                    <w:rPr>
                      <w:color w:val="000000"/>
                      <w:sz w:val="20"/>
                      <w:szCs w:val="20"/>
                    </w:rPr>
                    <w:t>DSBmT</w:t>
                  </w:r>
                  <w:proofErr w:type="spellEnd"/>
                  <w:r w:rsidRPr="002809F8">
                    <w:rPr>
                      <w:color w:val="000000"/>
                      <w:sz w:val="20"/>
                      <w:szCs w:val="20"/>
                    </w:rPr>
                    <w:t xml:space="preserve">) &lt; 1,0 </w:t>
                  </w:r>
                  <w:proofErr w:type="spellStart"/>
                  <w:r w:rsidRPr="002809F8">
                    <w:rPr>
                      <w:color w:val="000000"/>
                      <w:sz w:val="20"/>
                      <w:szCs w:val="20"/>
                    </w:rPr>
                    <w:t>мМ</w:t>
                  </w:r>
                  <w:proofErr w:type="spellEnd"/>
                  <w:r w:rsidRPr="002809F8">
                    <w:rPr>
                      <w:color w:val="000000"/>
                      <w:sz w:val="20"/>
                      <w:szCs w:val="20"/>
                    </w:rPr>
                    <w:br/>
                    <w:t>Консервант</w:t>
                  </w:r>
                  <w:proofErr w:type="gramStart"/>
                  <w:r w:rsidRPr="002809F8">
                    <w:rPr>
                      <w:color w:val="000000"/>
                      <w:sz w:val="20"/>
                      <w:szCs w:val="20"/>
                    </w:rPr>
                    <w:t xml:space="preserve"> Д</w:t>
                  </w:r>
                  <w:proofErr w:type="gramEnd"/>
                  <w:r w:rsidRPr="002809F8">
                    <w:rPr>
                      <w:color w:val="000000"/>
                      <w:sz w:val="20"/>
                      <w:szCs w:val="20"/>
                    </w:rPr>
                    <w:t xml:space="preserve">ля автоматического биохимического анализатора </w:t>
                  </w:r>
                  <w:proofErr w:type="spellStart"/>
                  <w:r w:rsidRPr="002809F8">
                    <w:rPr>
                      <w:color w:val="000000"/>
                      <w:sz w:val="20"/>
                      <w:szCs w:val="20"/>
                    </w:rPr>
                    <w:t>Pentra</w:t>
                  </w:r>
                  <w:proofErr w:type="spellEnd"/>
                  <w:r w:rsidRPr="002809F8">
                    <w:rPr>
                      <w:color w:val="000000"/>
                      <w:sz w:val="20"/>
                      <w:szCs w:val="20"/>
                    </w:rPr>
                    <w:t xml:space="preserve"> C400</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lastRenderedPageBreak/>
                    <w:t>флак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60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166 480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9 988 800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lastRenderedPageBreak/>
                    <w:t>10</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proofErr w:type="spellStart"/>
                  <w:r w:rsidRPr="002809F8">
                    <w:rPr>
                      <w:color w:val="000000"/>
                      <w:sz w:val="20"/>
                      <w:szCs w:val="20"/>
                    </w:rPr>
                    <w:t>Ферритин</w:t>
                  </w:r>
                  <w:proofErr w:type="spellEnd"/>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Реагент предназначен для диагностического количественного определения </w:t>
                  </w:r>
                  <w:proofErr w:type="spellStart"/>
                  <w:r w:rsidRPr="002809F8">
                    <w:rPr>
                      <w:color w:val="000000"/>
                      <w:sz w:val="20"/>
                      <w:szCs w:val="20"/>
                    </w:rPr>
                    <w:t>in</w:t>
                  </w:r>
                  <w:proofErr w:type="spellEnd"/>
                  <w:r w:rsidRPr="002809F8">
                    <w:rPr>
                      <w:color w:val="000000"/>
                      <w:sz w:val="20"/>
                      <w:szCs w:val="20"/>
                    </w:rPr>
                    <w:t xml:space="preserve"> </w:t>
                  </w:r>
                  <w:proofErr w:type="spellStart"/>
                  <w:r w:rsidRPr="002809F8">
                    <w:rPr>
                      <w:color w:val="000000"/>
                      <w:sz w:val="20"/>
                      <w:szCs w:val="20"/>
                    </w:rPr>
                    <w:t>vitro</w:t>
                  </w:r>
                  <w:proofErr w:type="spellEnd"/>
                  <w:r w:rsidRPr="002809F8">
                    <w:rPr>
                      <w:color w:val="000000"/>
                      <w:sz w:val="20"/>
                      <w:szCs w:val="20"/>
                    </w:rPr>
                    <w:t xml:space="preserve"> </w:t>
                  </w:r>
                  <w:proofErr w:type="spellStart"/>
                  <w:r w:rsidRPr="002809F8">
                    <w:rPr>
                      <w:color w:val="000000"/>
                      <w:sz w:val="20"/>
                      <w:szCs w:val="20"/>
                    </w:rPr>
                    <w:t>ферритина</w:t>
                  </w:r>
                  <w:proofErr w:type="spellEnd"/>
                  <w:r w:rsidRPr="002809F8">
                    <w:rPr>
                      <w:color w:val="000000"/>
                      <w:sz w:val="20"/>
                      <w:szCs w:val="20"/>
                    </w:rPr>
                    <w:t xml:space="preserve"> в сыворотке и плазме крови методом </w:t>
                  </w:r>
                  <w:proofErr w:type="spellStart"/>
                  <w:r w:rsidRPr="002809F8">
                    <w:rPr>
                      <w:color w:val="000000"/>
                      <w:sz w:val="20"/>
                      <w:szCs w:val="20"/>
                    </w:rPr>
                    <w:t>иммунотурбидиметрического</w:t>
                  </w:r>
                  <w:proofErr w:type="spellEnd"/>
                  <w:r w:rsidRPr="002809F8">
                    <w:rPr>
                      <w:color w:val="000000"/>
                      <w:sz w:val="20"/>
                      <w:szCs w:val="20"/>
                    </w:rPr>
                    <w:t xml:space="preserve"> анализа с латексным усилением. Определение уровня </w:t>
                  </w:r>
                  <w:proofErr w:type="spellStart"/>
                  <w:r w:rsidRPr="002809F8">
                    <w:rPr>
                      <w:color w:val="000000"/>
                      <w:sz w:val="20"/>
                      <w:szCs w:val="20"/>
                    </w:rPr>
                    <w:t>ферритина</w:t>
                  </w:r>
                  <w:proofErr w:type="spellEnd"/>
                  <w:r w:rsidRPr="002809F8">
                    <w:rPr>
                      <w:color w:val="000000"/>
                      <w:sz w:val="20"/>
                      <w:szCs w:val="20"/>
                    </w:rPr>
                    <w:t xml:space="preserve"> помогает в диагностике заболеваний, при которых нарушается метаболизм железа, таких как </w:t>
                  </w:r>
                  <w:proofErr w:type="spellStart"/>
                  <w:r w:rsidRPr="002809F8">
                    <w:rPr>
                      <w:color w:val="000000"/>
                      <w:sz w:val="20"/>
                      <w:szCs w:val="20"/>
                    </w:rPr>
                    <w:t>гемохроматоз</w:t>
                  </w:r>
                  <w:proofErr w:type="spellEnd"/>
                  <w:r w:rsidRPr="002809F8">
                    <w:rPr>
                      <w:color w:val="000000"/>
                      <w:sz w:val="20"/>
                      <w:szCs w:val="20"/>
                    </w:rPr>
                    <w:t xml:space="preserve"> (перегрузка железом) и железодефицитная анемия. </w:t>
                  </w:r>
                  <w:r w:rsidRPr="002809F8">
                    <w:rPr>
                      <w:color w:val="000000"/>
                      <w:sz w:val="20"/>
                      <w:szCs w:val="20"/>
                    </w:rPr>
                    <w:br/>
                    <w:t>Реагент 1:</w:t>
                  </w:r>
                  <w:r w:rsidRPr="002809F8">
                    <w:rPr>
                      <w:color w:val="000000"/>
                      <w:sz w:val="20"/>
                      <w:szCs w:val="20"/>
                    </w:rPr>
                    <w:br/>
                    <w:t>Буферный раствор: Глициновый буфер</w:t>
                  </w:r>
                  <w:r w:rsidRPr="002809F8">
                    <w:rPr>
                      <w:color w:val="000000"/>
                      <w:sz w:val="20"/>
                      <w:szCs w:val="20"/>
                    </w:rPr>
                    <w:br/>
                    <w:t>Реагент 2:</w:t>
                  </w:r>
                  <w:r w:rsidRPr="002809F8">
                    <w:rPr>
                      <w:color w:val="000000"/>
                      <w:sz w:val="20"/>
                      <w:szCs w:val="20"/>
                    </w:rPr>
                    <w:br/>
                    <w:t>Суспензия латекса: 0,07% масс</w:t>
                  </w:r>
                  <w:proofErr w:type="gramStart"/>
                  <w:r w:rsidRPr="002809F8">
                    <w:rPr>
                      <w:color w:val="000000"/>
                      <w:sz w:val="20"/>
                      <w:szCs w:val="20"/>
                    </w:rPr>
                    <w:t>.</w:t>
                  </w:r>
                  <w:proofErr w:type="gramEnd"/>
                  <w:r w:rsidRPr="002809F8">
                    <w:rPr>
                      <w:color w:val="000000"/>
                      <w:sz w:val="20"/>
                      <w:szCs w:val="20"/>
                    </w:rPr>
                    <w:t>/</w:t>
                  </w:r>
                  <w:proofErr w:type="gramStart"/>
                  <w:r w:rsidRPr="002809F8">
                    <w:rPr>
                      <w:color w:val="000000"/>
                      <w:sz w:val="20"/>
                      <w:szCs w:val="20"/>
                    </w:rPr>
                    <w:t>о</w:t>
                  </w:r>
                  <w:proofErr w:type="gramEnd"/>
                  <w:r w:rsidRPr="002809F8">
                    <w:rPr>
                      <w:color w:val="000000"/>
                      <w:sz w:val="20"/>
                      <w:szCs w:val="20"/>
                    </w:rPr>
                    <w:t xml:space="preserve">б. суспензия частиц латекса, связанных с антителами к </w:t>
                  </w:r>
                  <w:proofErr w:type="spellStart"/>
                  <w:r w:rsidRPr="002809F8">
                    <w:rPr>
                      <w:color w:val="000000"/>
                      <w:sz w:val="20"/>
                      <w:szCs w:val="20"/>
                    </w:rPr>
                    <w:t>ферритину</w:t>
                  </w:r>
                  <w:proofErr w:type="spellEnd"/>
                  <w:r w:rsidRPr="002809F8">
                    <w:rPr>
                      <w:color w:val="000000"/>
                      <w:sz w:val="20"/>
                      <w:szCs w:val="20"/>
                    </w:rPr>
                    <w:t xml:space="preserve"> (кролик) Для автоматического биохимического анализатора </w:t>
                  </w:r>
                  <w:proofErr w:type="spellStart"/>
                  <w:r w:rsidRPr="002809F8">
                    <w:rPr>
                      <w:color w:val="000000"/>
                      <w:sz w:val="20"/>
                      <w:szCs w:val="20"/>
                    </w:rPr>
                    <w:t>Pentra</w:t>
                  </w:r>
                  <w:proofErr w:type="spellEnd"/>
                  <w:r w:rsidRPr="002809F8">
                    <w:rPr>
                      <w:color w:val="000000"/>
                      <w:sz w:val="20"/>
                      <w:szCs w:val="20"/>
                    </w:rPr>
                    <w:t xml:space="preserve"> C400</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флак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100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222 500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13 350 000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11</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r w:rsidRPr="002809F8">
                    <w:rPr>
                      <w:color w:val="000000"/>
                      <w:sz w:val="20"/>
                      <w:szCs w:val="20"/>
                    </w:rPr>
                    <w:t>Кюветы для биохимического анализатора</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Кюветы для автоматического биохимического анализатора </w:t>
                  </w:r>
                  <w:proofErr w:type="spellStart"/>
                  <w:r w:rsidRPr="002809F8">
                    <w:rPr>
                      <w:color w:val="000000"/>
                      <w:sz w:val="20"/>
                      <w:szCs w:val="20"/>
                    </w:rPr>
                    <w:t>Pentra</w:t>
                  </w:r>
                  <w:proofErr w:type="spellEnd"/>
                  <w:r w:rsidRPr="002809F8">
                    <w:rPr>
                      <w:color w:val="000000"/>
                      <w:sz w:val="20"/>
                      <w:szCs w:val="20"/>
                    </w:rPr>
                    <w:t xml:space="preserve"> C400</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упак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130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255 000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15 300 000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12</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r w:rsidRPr="002809F8">
                    <w:rPr>
                      <w:color w:val="000000"/>
                      <w:sz w:val="20"/>
                      <w:szCs w:val="20"/>
                    </w:rPr>
                    <w:t>Протромбин</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Протромбин тест представляет собой </w:t>
                  </w:r>
                  <w:proofErr w:type="spellStart"/>
                  <w:r w:rsidRPr="002809F8">
                    <w:rPr>
                      <w:color w:val="000000"/>
                      <w:sz w:val="20"/>
                      <w:szCs w:val="20"/>
                    </w:rPr>
                    <w:t>рекомбинантный</w:t>
                  </w:r>
                  <w:proofErr w:type="spellEnd"/>
                  <w:r w:rsidRPr="002809F8">
                    <w:rPr>
                      <w:color w:val="000000"/>
                      <w:sz w:val="20"/>
                      <w:szCs w:val="20"/>
                    </w:rPr>
                    <w:t xml:space="preserve"> </w:t>
                  </w:r>
                  <w:proofErr w:type="spellStart"/>
                  <w:r w:rsidRPr="002809F8">
                    <w:rPr>
                      <w:color w:val="000000"/>
                      <w:sz w:val="20"/>
                      <w:szCs w:val="20"/>
                    </w:rPr>
                    <w:t>тромбопластин</w:t>
                  </w:r>
                  <w:proofErr w:type="spellEnd"/>
                  <w:r w:rsidRPr="002809F8">
                    <w:rPr>
                      <w:color w:val="000000"/>
                      <w:sz w:val="20"/>
                      <w:szCs w:val="20"/>
                    </w:rPr>
                    <w:t xml:space="preserve"> человека, который содержит </w:t>
                  </w:r>
                  <w:proofErr w:type="spellStart"/>
                  <w:r w:rsidRPr="002809F8">
                    <w:rPr>
                      <w:color w:val="000000"/>
                      <w:sz w:val="20"/>
                      <w:szCs w:val="20"/>
                    </w:rPr>
                    <w:t>рекомбинантный</w:t>
                  </w:r>
                  <w:proofErr w:type="spellEnd"/>
                  <w:r w:rsidRPr="002809F8">
                    <w:rPr>
                      <w:color w:val="000000"/>
                      <w:sz w:val="20"/>
                      <w:szCs w:val="20"/>
                    </w:rPr>
                    <w:t xml:space="preserve"> тканевый фактор человека, липиды и ионы кальция. Тест на определение ПВ в соответствии с режиме "</w:t>
                  </w:r>
                  <w:proofErr w:type="spellStart"/>
                  <w:r w:rsidRPr="002809F8">
                    <w:rPr>
                      <w:color w:val="000000"/>
                      <w:sz w:val="20"/>
                      <w:szCs w:val="20"/>
                    </w:rPr>
                    <w:t>Quick</w:t>
                  </w:r>
                  <w:proofErr w:type="spellEnd"/>
                  <w:r w:rsidRPr="002809F8">
                    <w:rPr>
                      <w:color w:val="000000"/>
                      <w:sz w:val="20"/>
                      <w:szCs w:val="20"/>
                    </w:rPr>
                    <w:t xml:space="preserve">" является точным </w:t>
                  </w:r>
                  <w:proofErr w:type="spellStart"/>
                  <w:r w:rsidRPr="002809F8">
                    <w:rPr>
                      <w:color w:val="000000"/>
                      <w:sz w:val="20"/>
                      <w:szCs w:val="20"/>
                    </w:rPr>
                    <w:t>скрининговым</w:t>
                  </w:r>
                  <w:proofErr w:type="spellEnd"/>
                  <w:r w:rsidRPr="002809F8">
                    <w:rPr>
                      <w:color w:val="000000"/>
                      <w:sz w:val="20"/>
                      <w:szCs w:val="20"/>
                    </w:rPr>
                    <w:t xml:space="preserve"> тестом для внешней системы коагуляции. очень чувствителен к антагонистам витамина</w:t>
                  </w:r>
                  <w:proofErr w:type="gramStart"/>
                  <w:r w:rsidRPr="002809F8">
                    <w:rPr>
                      <w:color w:val="000000"/>
                      <w:sz w:val="20"/>
                      <w:szCs w:val="20"/>
                    </w:rPr>
                    <w:t xml:space="preserve"> К</w:t>
                  </w:r>
                  <w:proofErr w:type="gramEnd"/>
                  <w:r w:rsidRPr="002809F8">
                    <w:rPr>
                      <w:color w:val="000000"/>
                      <w:sz w:val="20"/>
                      <w:szCs w:val="20"/>
                    </w:rPr>
                    <w:t xml:space="preserve">, сниженному уровню факторов по внешнему пути (фактор II, V, VII и X), наследственным или приобретенным нарушениям свертывания крови и печеночной недостаточности. Таким образом, ПВ реагентом оптимально используется для предварительного хирургического скрининга и мониторинга </w:t>
                  </w:r>
                  <w:proofErr w:type="spellStart"/>
                  <w:r w:rsidRPr="002809F8">
                    <w:rPr>
                      <w:color w:val="000000"/>
                      <w:sz w:val="20"/>
                      <w:szCs w:val="20"/>
                    </w:rPr>
                    <w:t>пероральной</w:t>
                  </w:r>
                  <w:proofErr w:type="spellEnd"/>
                  <w:r w:rsidRPr="002809F8">
                    <w:rPr>
                      <w:color w:val="000000"/>
                      <w:sz w:val="20"/>
                      <w:szCs w:val="20"/>
                    </w:rPr>
                    <w:t xml:space="preserve"> </w:t>
                  </w:r>
                  <w:proofErr w:type="spellStart"/>
                  <w:r w:rsidRPr="002809F8">
                    <w:rPr>
                      <w:color w:val="000000"/>
                      <w:sz w:val="20"/>
                      <w:szCs w:val="20"/>
                    </w:rPr>
                    <w:lastRenderedPageBreak/>
                    <w:t>антикоагулянтной</w:t>
                  </w:r>
                  <w:proofErr w:type="spellEnd"/>
                  <w:r w:rsidRPr="002809F8">
                    <w:rPr>
                      <w:color w:val="000000"/>
                      <w:sz w:val="20"/>
                      <w:szCs w:val="20"/>
                    </w:rPr>
                    <w:t xml:space="preserve"> терапии (ПАТ). Реагент с соответствующим количеством дефицитной плазмой также подходит для определения активности внешнего пути коагуляции. Кроме того, реагент имеет повышенную чувствительность к определенным факторам, таким как фактор VII, из-за этих характеристик в некоторых случаях он может вызвать длительную коагуляцию по сравнению с </w:t>
                  </w:r>
                  <w:proofErr w:type="spellStart"/>
                  <w:r w:rsidRPr="002809F8">
                    <w:rPr>
                      <w:color w:val="000000"/>
                      <w:sz w:val="20"/>
                      <w:szCs w:val="20"/>
                    </w:rPr>
                    <w:t>тромбопластинами</w:t>
                  </w:r>
                  <w:proofErr w:type="spellEnd"/>
                  <w:r w:rsidRPr="002809F8">
                    <w:rPr>
                      <w:color w:val="000000"/>
                      <w:sz w:val="20"/>
                      <w:szCs w:val="20"/>
                    </w:rPr>
                    <w:t xml:space="preserve"> их экстрактов ткани. Для полуавтоматического </w:t>
                  </w:r>
                  <w:proofErr w:type="spellStart"/>
                  <w:r w:rsidRPr="002809F8">
                    <w:rPr>
                      <w:color w:val="000000"/>
                      <w:sz w:val="20"/>
                      <w:szCs w:val="20"/>
                    </w:rPr>
                    <w:t>коагулометра</w:t>
                  </w:r>
                  <w:proofErr w:type="spellEnd"/>
                  <w:r w:rsidRPr="002809F8">
                    <w:rPr>
                      <w:color w:val="000000"/>
                      <w:sz w:val="20"/>
                      <w:szCs w:val="20"/>
                    </w:rPr>
                    <w:t xml:space="preserve"> </w:t>
                  </w:r>
                  <w:proofErr w:type="spellStart"/>
                  <w:r w:rsidRPr="002809F8">
                    <w:rPr>
                      <w:color w:val="000000"/>
                      <w:sz w:val="20"/>
                      <w:szCs w:val="20"/>
                    </w:rPr>
                    <w:t>Yumizen</w:t>
                  </w:r>
                  <w:proofErr w:type="spellEnd"/>
                  <w:r w:rsidRPr="002809F8">
                    <w:rPr>
                      <w:color w:val="000000"/>
                      <w:sz w:val="20"/>
                      <w:szCs w:val="20"/>
                    </w:rPr>
                    <w:t xml:space="preserve"> G400</w:t>
                  </w:r>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r w:rsidRPr="002809F8">
                    <w:rPr>
                      <w:sz w:val="20"/>
                      <w:szCs w:val="20"/>
                    </w:rPr>
                    <w:lastRenderedPageBreak/>
                    <w:t>набор</w:t>
                  </w:r>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50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154 100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9 246 000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lastRenderedPageBreak/>
                    <w:t>13</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r w:rsidRPr="002809F8">
                    <w:rPr>
                      <w:color w:val="000000"/>
                      <w:sz w:val="20"/>
                      <w:szCs w:val="20"/>
                    </w:rPr>
                    <w:t xml:space="preserve">Д </w:t>
                  </w:r>
                  <w:proofErr w:type="spellStart"/>
                  <w:r w:rsidRPr="002809F8">
                    <w:rPr>
                      <w:color w:val="000000"/>
                      <w:sz w:val="20"/>
                      <w:szCs w:val="20"/>
                    </w:rPr>
                    <w:t>димер</w:t>
                  </w:r>
                  <w:proofErr w:type="spellEnd"/>
                  <w:r w:rsidRPr="002809F8">
                    <w:rPr>
                      <w:color w:val="000000"/>
                      <w:sz w:val="20"/>
                      <w:szCs w:val="20"/>
                    </w:rPr>
                    <w:t xml:space="preserve"> экспресс тест</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r w:rsidRPr="002809F8">
                    <w:rPr>
                      <w:color w:val="000000"/>
                      <w:sz w:val="20"/>
                      <w:szCs w:val="20"/>
                    </w:rPr>
                    <w:t xml:space="preserve">Д </w:t>
                  </w:r>
                  <w:proofErr w:type="spellStart"/>
                  <w:r w:rsidRPr="002809F8">
                    <w:rPr>
                      <w:color w:val="000000"/>
                      <w:sz w:val="20"/>
                      <w:szCs w:val="20"/>
                    </w:rPr>
                    <w:t>димер</w:t>
                  </w:r>
                  <w:proofErr w:type="spellEnd"/>
                  <w:r w:rsidRPr="002809F8">
                    <w:rPr>
                      <w:color w:val="000000"/>
                      <w:sz w:val="20"/>
                      <w:szCs w:val="20"/>
                    </w:rPr>
                    <w:t xml:space="preserve"> экспресс тест для </w:t>
                  </w:r>
                  <w:proofErr w:type="spellStart"/>
                  <w:r w:rsidRPr="002809F8">
                    <w:rPr>
                      <w:color w:val="000000"/>
                      <w:sz w:val="20"/>
                      <w:szCs w:val="20"/>
                    </w:rPr>
                    <w:t>иимунохроматографического</w:t>
                  </w:r>
                  <w:proofErr w:type="spellEnd"/>
                  <w:r w:rsidRPr="002809F8">
                    <w:rPr>
                      <w:color w:val="000000"/>
                      <w:sz w:val="20"/>
                      <w:szCs w:val="20"/>
                    </w:rPr>
                    <w:t xml:space="preserve"> анализатора </w:t>
                  </w:r>
                  <w:proofErr w:type="spellStart"/>
                  <w:r w:rsidRPr="002809F8">
                    <w:rPr>
                      <w:color w:val="000000"/>
                      <w:sz w:val="20"/>
                      <w:szCs w:val="20"/>
                    </w:rPr>
                    <w:t>Easy</w:t>
                  </w:r>
                  <w:proofErr w:type="spellEnd"/>
                  <w:r w:rsidRPr="002809F8">
                    <w:rPr>
                      <w:color w:val="000000"/>
                      <w:sz w:val="20"/>
                      <w:szCs w:val="20"/>
                    </w:rPr>
                    <w:t xml:space="preserve"> </w:t>
                  </w:r>
                  <w:proofErr w:type="spellStart"/>
                  <w:r w:rsidRPr="002809F8">
                    <w:rPr>
                      <w:color w:val="000000"/>
                      <w:sz w:val="20"/>
                      <w:szCs w:val="20"/>
                    </w:rPr>
                    <w:t>Reader+</w:t>
                  </w:r>
                  <w:proofErr w:type="spellEnd"/>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упак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150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80 000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4 800 000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14</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proofErr w:type="spellStart"/>
                  <w:r w:rsidRPr="002809F8">
                    <w:rPr>
                      <w:color w:val="000000"/>
                      <w:sz w:val="20"/>
                      <w:szCs w:val="20"/>
                    </w:rPr>
                    <w:t>Прокальцитонин</w:t>
                  </w:r>
                  <w:proofErr w:type="spellEnd"/>
                  <w:r w:rsidRPr="002809F8">
                    <w:rPr>
                      <w:color w:val="000000"/>
                      <w:sz w:val="20"/>
                      <w:szCs w:val="20"/>
                    </w:rPr>
                    <w:t xml:space="preserve"> экспресс тест</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proofErr w:type="spellStart"/>
                  <w:r w:rsidRPr="002809F8">
                    <w:rPr>
                      <w:color w:val="000000"/>
                      <w:sz w:val="20"/>
                      <w:szCs w:val="20"/>
                    </w:rPr>
                    <w:t>Прокальцитонин</w:t>
                  </w:r>
                  <w:proofErr w:type="spellEnd"/>
                  <w:r w:rsidRPr="002809F8">
                    <w:rPr>
                      <w:color w:val="000000"/>
                      <w:sz w:val="20"/>
                      <w:szCs w:val="20"/>
                    </w:rPr>
                    <w:t xml:space="preserve"> экспресс тест для </w:t>
                  </w:r>
                  <w:proofErr w:type="spellStart"/>
                  <w:r w:rsidRPr="002809F8">
                    <w:rPr>
                      <w:color w:val="000000"/>
                      <w:sz w:val="20"/>
                      <w:szCs w:val="20"/>
                    </w:rPr>
                    <w:t>иимунохроматографического</w:t>
                  </w:r>
                  <w:proofErr w:type="spellEnd"/>
                  <w:r w:rsidRPr="002809F8">
                    <w:rPr>
                      <w:color w:val="000000"/>
                      <w:sz w:val="20"/>
                      <w:szCs w:val="20"/>
                    </w:rPr>
                    <w:t xml:space="preserve"> анализатора </w:t>
                  </w:r>
                  <w:proofErr w:type="spellStart"/>
                  <w:r w:rsidRPr="002809F8">
                    <w:rPr>
                      <w:color w:val="000000"/>
                      <w:sz w:val="20"/>
                      <w:szCs w:val="20"/>
                    </w:rPr>
                    <w:t>Easy</w:t>
                  </w:r>
                  <w:proofErr w:type="spellEnd"/>
                  <w:r w:rsidRPr="002809F8">
                    <w:rPr>
                      <w:color w:val="000000"/>
                      <w:sz w:val="20"/>
                      <w:szCs w:val="20"/>
                    </w:rPr>
                    <w:t xml:space="preserve"> </w:t>
                  </w:r>
                  <w:proofErr w:type="spellStart"/>
                  <w:r w:rsidRPr="002809F8">
                    <w:rPr>
                      <w:color w:val="000000"/>
                      <w:sz w:val="20"/>
                      <w:szCs w:val="20"/>
                    </w:rPr>
                    <w:t>Reader+</w:t>
                  </w:r>
                  <w:proofErr w:type="spellEnd"/>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упак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150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165 000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9 900 000</w:t>
                  </w:r>
                </w:p>
              </w:tc>
            </w:tr>
            <w:tr w:rsidR="00BF568C" w:rsidRPr="001F6363" w:rsidTr="00B82819">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sz w:val="20"/>
                      <w:szCs w:val="20"/>
                      <w:lang w:eastAsia="ru-RU"/>
                    </w:rPr>
                  </w:pPr>
                  <w:r w:rsidRPr="001F6363">
                    <w:rPr>
                      <w:sz w:val="20"/>
                      <w:szCs w:val="20"/>
                      <w:lang w:eastAsia="ru-RU"/>
                    </w:rPr>
                    <w:t>15</w:t>
                  </w:r>
                </w:p>
              </w:tc>
              <w:tc>
                <w:tcPr>
                  <w:tcW w:w="2268" w:type="dxa"/>
                  <w:tcBorders>
                    <w:top w:val="single" w:sz="4" w:space="0" w:color="auto"/>
                    <w:left w:val="single" w:sz="4" w:space="0" w:color="auto"/>
                    <w:bottom w:val="single" w:sz="4" w:space="0" w:color="auto"/>
                    <w:right w:val="nil"/>
                  </w:tcBorders>
                  <w:vAlign w:val="center"/>
                  <w:hideMark/>
                </w:tcPr>
                <w:p w:rsidR="00BF568C" w:rsidRPr="002809F8" w:rsidRDefault="00BF568C" w:rsidP="00B82819">
                  <w:pPr>
                    <w:rPr>
                      <w:color w:val="000000"/>
                      <w:sz w:val="20"/>
                      <w:szCs w:val="20"/>
                    </w:rPr>
                  </w:pPr>
                  <w:proofErr w:type="spellStart"/>
                  <w:r w:rsidRPr="002809F8">
                    <w:rPr>
                      <w:color w:val="000000"/>
                      <w:sz w:val="20"/>
                      <w:szCs w:val="20"/>
                    </w:rPr>
                    <w:t>Тропонин</w:t>
                  </w:r>
                  <w:proofErr w:type="spellEnd"/>
                  <w:r w:rsidRPr="002809F8">
                    <w:rPr>
                      <w:color w:val="000000"/>
                      <w:sz w:val="20"/>
                      <w:szCs w:val="20"/>
                    </w:rPr>
                    <w:t xml:space="preserve"> экспресс тест</w:t>
                  </w:r>
                </w:p>
              </w:tc>
              <w:tc>
                <w:tcPr>
                  <w:tcW w:w="2835" w:type="dxa"/>
                  <w:tcBorders>
                    <w:top w:val="single" w:sz="4" w:space="0" w:color="auto"/>
                    <w:left w:val="single" w:sz="4" w:space="0" w:color="auto"/>
                    <w:bottom w:val="single" w:sz="4" w:space="0" w:color="auto"/>
                    <w:right w:val="nil"/>
                  </w:tcBorders>
                  <w:vAlign w:val="center"/>
                </w:tcPr>
                <w:p w:rsidR="00BF568C" w:rsidRPr="002809F8" w:rsidRDefault="00BF568C" w:rsidP="00B82819">
                  <w:pPr>
                    <w:rPr>
                      <w:color w:val="000000"/>
                      <w:sz w:val="20"/>
                      <w:szCs w:val="20"/>
                    </w:rPr>
                  </w:pPr>
                  <w:proofErr w:type="spellStart"/>
                  <w:r w:rsidRPr="002809F8">
                    <w:rPr>
                      <w:color w:val="000000"/>
                      <w:sz w:val="20"/>
                      <w:szCs w:val="20"/>
                    </w:rPr>
                    <w:t>Тропонин</w:t>
                  </w:r>
                  <w:proofErr w:type="spellEnd"/>
                  <w:r w:rsidRPr="002809F8">
                    <w:rPr>
                      <w:color w:val="000000"/>
                      <w:sz w:val="20"/>
                      <w:szCs w:val="20"/>
                    </w:rPr>
                    <w:t xml:space="preserve"> экспресс тест для </w:t>
                  </w:r>
                  <w:proofErr w:type="spellStart"/>
                  <w:r w:rsidRPr="002809F8">
                    <w:rPr>
                      <w:color w:val="000000"/>
                      <w:sz w:val="20"/>
                      <w:szCs w:val="20"/>
                    </w:rPr>
                    <w:t>иимунохроматографического</w:t>
                  </w:r>
                  <w:proofErr w:type="spellEnd"/>
                  <w:r w:rsidRPr="002809F8">
                    <w:rPr>
                      <w:color w:val="000000"/>
                      <w:sz w:val="20"/>
                      <w:szCs w:val="20"/>
                    </w:rPr>
                    <w:t xml:space="preserve"> анализатора </w:t>
                  </w:r>
                  <w:proofErr w:type="spellStart"/>
                  <w:r w:rsidRPr="002809F8">
                    <w:rPr>
                      <w:color w:val="000000"/>
                      <w:sz w:val="20"/>
                      <w:szCs w:val="20"/>
                    </w:rPr>
                    <w:t>Easy</w:t>
                  </w:r>
                  <w:proofErr w:type="spellEnd"/>
                  <w:r w:rsidRPr="002809F8">
                    <w:rPr>
                      <w:color w:val="000000"/>
                      <w:sz w:val="20"/>
                      <w:szCs w:val="20"/>
                    </w:rPr>
                    <w:t xml:space="preserve"> </w:t>
                  </w:r>
                  <w:proofErr w:type="spellStart"/>
                  <w:r w:rsidRPr="002809F8">
                    <w:rPr>
                      <w:color w:val="000000"/>
                      <w:sz w:val="20"/>
                      <w:szCs w:val="20"/>
                    </w:rPr>
                    <w:t>Reader+</w:t>
                  </w:r>
                  <w:proofErr w:type="spellEnd"/>
                </w:p>
              </w:tc>
              <w:tc>
                <w:tcPr>
                  <w:tcW w:w="850" w:type="dxa"/>
                  <w:tcBorders>
                    <w:top w:val="single" w:sz="4" w:space="0" w:color="auto"/>
                    <w:left w:val="single" w:sz="4" w:space="0" w:color="auto"/>
                    <w:bottom w:val="single" w:sz="4" w:space="0" w:color="auto"/>
                    <w:right w:val="nil"/>
                  </w:tcBorders>
                  <w:hideMark/>
                </w:tcPr>
                <w:p w:rsidR="00BF568C" w:rsidRPr="002809F8" w:rsidRDefault="00BF568C" w:rsidP="00B82819">
                  <w:pPr>
                    <w:jc w:val="center"/>
                    <w:rPr>
                      <w:sz w:val="20"/>
                      <w:szCs w:val="20"/>
                    </w:rPr>
                  </w:pPr>
                  <w:proofErr w:type="spellStart"/>
                  <w:r w:rsidRPr="002809F8">
                    <w:rPr>
                      <w:sz w:val="20"/>
                      <w:szCs w:val="20"/>
                    </w:rPr>
                    <w:t>упак</w:t>
                  </w:r>
                  <w:proofErr w:type="spellEnd"/>
                </w:p>
              </w:tc>
              <w:tc>
                <w:tcPr>
                  <w:tcW w:w="851" w:type="dxa"/>
                  <w:tcBorders>
                    <w:top w:val="single" w:sz="4" w:space="0" w:color="auto"/>
                    <w:left w:val="single" w:sz="4" w:space="0" w:color="auto"/>
                    <w:bottom w:val="single" w:sz="4" w:space="0" w:color="auto"/>
                    <w:right w:val="nil"/>
                  </w:tcBorders>
                  <w:hideMark/>
                </w:tcPr>
                <w:p w:rsidR="00BF568C" w:rsidRDefault="00BF568C" w:rsidP="00B82819">
                  <w:pPr>
                    <w:jc w:val="center"/>
                  </w:pPr>
                  <w:r>
                    <w:t>150</w:t>
                  </w:r>
                </w:p>
              </w:tc>
              <w:tc>
                <w:tcPr>
                  <w:tcW w:w="1134" w:type="dxa"/>
                  <w:tcBorders>
                    <w:top w:val="single" w:sz="4" w:space="0" w:color="auto"/>
                    <w:left w:val="single" w:sz="4" w:space="0" w:color="auto"/>
                    <w:bottom w:val="single" w:sz="4" w:space="0" w:color="auto"/>
                    <w:right w:val="nil"/>
                  </w:tcBorders>
                  <w:hideMark/>
                </w:tcPr>
                <w:p w:rsidR="00BF568C" w:rsidRPr="002809F8" w:rsidRDefault="00BF568C" w:rsidP="00B82819">
                  <w:pPr>
                    <w:jc w:val="right"/>
                    <w:rPr>
                      <w:sz w:val="20"/>
                    </w:rPr>
                  </w:pPr>
                  <w:r w:rsidRPr="002809F8">
                    <w:rPr>
                      <w:sz w:val="20"/>
                    </w:rPr>
                    <w:t>80 000</w:t>
                  </w:r>
                </w:p>
              </w:tc>
              <w:tc>
                <w:tcPr>
                  <w:tcW w:w="1507" w:type="dxa"/>
                  <w:tcBorders>
                    <w:top w:val="single" w:sz="4" w:space="0" w:color="auto"/>
                    <w:left w:val="single" w:sz="4" w:space="0" w:color="auto"/>
                    <w:bottom w:val="single" w:sz="4" w:space="0" w:color="auto"/>
                    <w:right w:val="single" w:sz="4" w:space="0" w:color="auto"/>
                  </w:tcBorders>
                  <w:hideMark/>
                </w:tcPr>
                <w:p w:rsidR="00BF568C" w:rsidRPr="002809F8" w:rsidRDefault="00BF568C" w:rsidP="00B82819">
                  <w:pPr>
                    <w:jc w:val="right"/>
                    <w:rPr>
                      <w:color w:val="000000"/>
                      <w:sz w:val="20"/>
                    </w:rPr>
                  </w:pPr>
                  <w:r w:rsidRPr="002809F8">
                    <w:rPr>
                      <w:color w:val="000000"/>
                      <w:sz w:val="20"/>
                    </w:rPr>
                    <w:t>4 800 000</w:t>
                  </w:r>
                </w:p>
              </w:tc>
            </w:tr>
            <w:tr w:rsidR="00BF568C" w:rsidRPr="001F6363" w:rsidTr="00B82819">
              <w:trPr>
                <w:trHeight w:val="582"/>
              </w:trPr>
              <w:tc>
                <w:tcPr>
                  <w:tcW w:w="568" w:type="dxa"/>
                  <w:tcBorders>
                    <w:top w:val="nil"/>
                    <w:left w:val="single" w:sz="4" w:space="0" w:color="auto"/>
                    <w:bottom w:val="single" w:sz="4" w:space="0" w:color="auto"/>
                    <w:right w:val="single" w:sz="4" w:space="0" w:color="auto"/>
                  </w:tcBorders>
                  <w:hideMark/>
                </w:tcPr>
                <w:p w:rsidR="00BF568C" w:rsidRPr="001F6363" w:rsidRDefault="00BF568C" w:rsidP="00B82819">
                  <w:pPr>
                    <w:pStyle w:val="a3"/>
                    <w:rPr>
                      <w:sz w:val="20"/>
                      <w:szCs w:val="20"/>
                      <w:lang w:eastAsia="ru-RU"/>
                    </w:rPr>
                  </w:pPr>
                </w:p>
              </w:tc>
              <w:tc>
                <w:tcPr>
                  <w:tcW w:w="2268" w:type="dxa"/>
                  <w:tcBorders>
                    <w:top w:val="nil"/>
                    <w:left w:val="single" w:sz="4" w:space="0" w:color="auto"/>
                    <w:bottom w:val="single" w:sz="4" w:space="0" w:color="auto"/>
                    <w:right w:val="single" w:sz="4" w:space="0" w:color="auto"/>
                  </w:tcBorders>
                  <w:hideMark/>
                </w:tcPr>
                <w:p w:rsidR="00BF568C" w:rsidRPr="001F6363" w:rsidRDefault="00BF568C" w:rsidP="00B82819">
                  <w:pPr>
                    <w:pStyle w:val="a3"/>
                    <w:rPr>
                      <w:sz w:val="20"/>
                      <w:szCs w:val="20"/>
                      <w:lang w:eastAsia="ru-RU"/>
                    </w:rPr>
                  </w:pPr>
                  <w:r w:rsidRPr="001F6363">
                    <w:rPr>
                      <w:sz w:val="20"/>
                      <w:szCs w:val="20"/>
                      <w:lang w:eastAsia="ru-RU"/>
                    </w:rPr>
                    <w:t>ИТОГО:</w:t>
                  </w:r>
                </w:p>
              </w:tc>
              <w:tc>
                <w:tcPr>
                  <w:tcW w:w="2835" w:type="dxa"/>
                  <w:tcBorders>
                    <w:top w:val="nil"/>
                    <w:left w:val="single" w:sz="4" w:space="0" w:color="auto"/>
                    <w:bottom w:val="single" w:sz="4" w:space="0" w:color="auto"/>
                    <w:right w:val="single" w:sz="4" w:space="0" w:color="auto"/>
                  </w:tcBorders>
                  <w:hideMark/>
                </w:tcPr>
                <w:p w:rsidR="00BF568C" w:rsidRPr="001F6363" w:rsidRDefault="00BF568C" w:rsidP="00B82819">
                  <w:pPr>
                    <w:pStyle w:val="a3"/>
                    <w:rPr>
                      <w:sz w:val="20"/>
                      <w:szCs w:val="20"/>
                      <w:lang w:eastAsia="ru-RU"/>
                    </w:rPr>
                  </w:pPr>
                </w:p>
              </w:tc>
              <w:tc>
                <w:tcPr>
                  <w:tcW w:w="850" w:type="dxa"/>
                  <w:tcBorders>
                    <w:top w:val="nil"/>
                    <w:left w:val="single" w:sz="4" w:space="0" w:color="auto"/>
                    <w:bottom w:val="single" w:sz="4" w:space="0" w:color="auto"/>
                    <w:right w:val="single" w:sz="4" w:space="0" w:color="auto"/>
                  </w:tcBorders>
                  <w:hideMark/>
                </w:tcPr>
                <w:p w:rsidR="00BF568C" w:rsidRPr="001F6363" w:rsidRDefault="00BF568C" w:rsidP="00B82819">
                  <w:pPr>
                    <w:pStyle w:val="a3"/>
                    <w:rPr>
                      <w:sz w:val="20"/>
                      <w:szCs w:val="20"/>
                      <w:lang w:eastAsia="ru-RU"/>
                    </w:rPr>
                  </w:pPr>
                </w:p>
              </w:tc>
              <w:tc>
                <w:tcPr>
                  <w:tcW w:w="851" w:type="dxa"/>
                  <w:tcBorders>
                    <w:top w:val="nil"/>
                    <w:left w:val="single" w:sz="4" w:space="0" w:color="auto"/>
                    <w:bottom w:val="single" w:sz="4" w:space="0" w:color="auto"/>
                    <w:right w:val="nil"/>
                  </w:tcBorders>
                  <w:hideMark/>
                </w:tcPr>
                <w:p w:rsidR="00BF568C" w:rsidRPr="001F6363" w:rsidRDefault="00BF568C" w:rsidP="00B82819">
                  <w:pPr>
                    <w:pStyle w:val="a3"/>
                    <w:rPr>
                      <w:sz w:val="20"/>
                      <w:szCs w:val="20"/>
                      <w:lang w:eastAsia="ru-RU"/>
                    </w:rPr>
                  </w:pPr>
                </w:p>
              </w:tc>
              <w:tc>
                <w:tcPr>
                  <w:tcW w:w="1134" w:type="dxa"/>
                  <w:tcBorders>
                    <w:top w:val="single" w:sz="4" w:space="0" w:color="auto"/>
                    <w:left w:val="single" w:sz="4" w:space="0" w:color="auto"/>
                    <w:bottom w:val="single" w:sz="4" w:space="0" w:color="auto"/>
                    <w:right w:val="nil"/>
                  </w:tcBorders>
                  <w:vAlign w:val="center"/>
                  <w:hideMark/>
                </w:tcPr>
                <w:p w:rsidR="00BF568C" w:rsidRPr="001F6363" w:rsidRDefault="00BF568C" w:rsidP="00B82819">
                  <w:pPr>
                    <w:pStyle w:val="a3"/>
                    <w:rPr>
                      <w:sz w:val="20"/>
                      <w:szCs w:val="20"/>
                      <w:lang w:eastAsia="ru-RU"/>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BF568C" w:rsidRPr="001F6363" w:rsidRDefault="00BF568C" w:rsidP="00B82819">
                  <w:pPr>
                    <w:pStyle w:val="a3"/>
                    <w:rPr>
                      <w:b/>
                      <w:sz w:val="20"/>
                      <w:szCs w:val="20"/>
                      <w:lang w:eastAsia="ru-RU"/>
                    </w:rPr>
                  </w:pPr>
                  <w:r>
                    <w:rPr>
                      <w:b/>
                      <w:sz w:val="20"/>
                      <w:szCs w:val="20"/>
                      <w:lang w:val="kk-KZ" w:eastAsia="ru-RU"/>
                    </w:rPr>
                    <w:t>218 365 200</w:t>
                  </w:r>
                  <w:r w:rsidRPr="001F6363">
                    <w:rPr>
                      <w:b/>
                      <w:sz w:val="20"/>
                      <w:szCs w:val="20"/>
                      <w:lang w:val="kk-KZ" w:eastAsia="ru-RU"/>
                    </w:rPr>
                    <w:t>,00</w:t>
                  </w:r>
                </w:p>
              </w:tc>
            </w:tr>
          </w:tbl>
          <w:p w:rsidR="00357CF6" w:rsidRDefault="00357CF6" w:rsidP="00357CF6">
            <w:pPr>
              <w:pStyle w:val="a3"/>
              <w:rPr>
                <w:bCs/>
                <w:sz w:val="20"/>
                <w:szCs w:val="20"/>
                <w:lang w:eastAsia="ru-RU"/>
              </w:rPr>
            </w:pPr>
          </w:p>
          <w:p w:rsidR="00357CF6" w:rsidRDefault="00357CF6" w:rsidP="00357CF6">
            <w:pPr>
              <w:pStyle w:val="a3"/>
              <w:rPr>
                <w:bCs/>
                <w:sz w:val="20"/>
                <w:szCs w:val="20"/>
                <w:lang w:eastAsia="ru-RU"/>
              </w:rPr>
            </w:pPr>
          </w:p>
          <w:p w:rsidR="00357CF6" w:rsidRDefault="00357CF6" w:rsidP="00357CF6">
            <w:pPr>
              <w:pStyle w:val="a3"/>
              <w:rPr>
                <w:b/>
                <w:sz w:val="20"/>
                <w:szCs w:val="20"/>
                <w:lang w:eastAsia="ru-RU"/>
              </w:rPr>
            </w:pPr>
          </w:p>
          <w:p w:rsidR="002E6B43" w:rsidRDefault="002E6B43" w:rsidP="002E6B43">
            <w:pPr>
              <w:pStyle w:val="a3"/>
              <w:rPr>
                <w:b/>
                <w:sz w:val="23"/>
                <w:szCs w:val="23"/>
                <w:lang w:eastAsia="ru-RU"/>
              </w:rPr>
            </w:pPr>
          </w:p>
          <w:p w:rsidR="00357CF6" w:rsidRDefault="00357CF6" w:rsidP="00DF3F9F">
            <w:pPr>
              <w:pStyle w:val="a3"/>
              <w:ind w:left="-675" w:firstLine="675"/>
              <w:rPr>
                <w:b/>
                <w:sz w:val="23"/>
                <w:szCs w:val="23"/>
                <w:lang w:eastAsia="ru-RU"/>
              </w:rPr>
            </w:pPr>
          </w:p>
          <w:p w:rsidR="00357CF6" w:rsidRDefault="00357CF6" w:rsidP="00DF3F9F">
            <w:pPr>
              <w:pStyle w:val="a3"/>
              <w:ind w:left="-675" w:firstLine="675"/>
              <w:rPr>
                <w:b/>
                <w:sz w:val="23"/>
                <w:szCs w:val="23"/>
                <w:lang w:eastAsia="ru-RU"/>
              </w:rPr>
            </w:pPr>
          </w:p>
          <w:p w:rsidR="002E6B43" w:rsidRPr="00350145" w:rsidRDefault="002E6B43" w:rsidP="00357CF6">
            <w:pPr>
              <w:pStyle w:val="a3"/>
              <w:rPr>
                <w:rFonts w:eastAsia="Times New Roman"/>
                <w:b/>
                <w:bCs/>
                <w:color w:val="000000"/>
                <w:sz w:val="23"/>
                <w:szCs w:val="23"/>
                <w:lang w:eastAsia="ru-RU"/>
              </w:rPr>
            </w:pPr>
          </w:p>
        </w:tc>
      </w:tr>
    </w:tbl>
    <w:p w:rsidR="00CA0A9A" w:rsidRDefault="00CA0A9A">
      <w:pPr>
        <w:jc w:val="right"/>
      </w:pPr>
    </w:p>
    <w:sectPr w:rsidR="00CA0A9A" w:rsidSect="00357CF6">
      <w:pgSz w:w="11906" w:h="16838"/>
      <w:pgMar w:top="567" w:right="45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3B" w:rsidRDefault="0087353B">
      <w:r>
        <w:separator/>
      </w:r>
    </w:p>
  </w:endnote>
  <w:endnote w:type="continuationSeparator" w:id="0">
    <w:p w:rsidR="0087353B" w:rsidRDefault="00873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3B" w:rsidRDefault="0087353B">
      <w:pPr>
        <w:spacing w:after="0"/>
      </w:pPr>
      <w:r>
        <w:separator/>
      </w:r>
    </w:p>
  </w:footnote>
  <w:footnote w:type="continuationSeparator" w:id="0">
    <w:p w:rsidR="0087353B" w:rsidRDefault="0087353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45FE7"/>
    <w:rsid w:val="0015289F"/>
    <w:rsid w:val="0015531B"/>
    <w:rsid w:val="00255BF9"/>
    <w:rsid w:val="00257827"/>
    <w:rsid w:val="002E1838"/>
    <w:rsid w:val="002E6B43"/>
    <w:rsid w:val="00357CF6"/>
    <w:rsid w:val="00383E89"/>
    <w:rsid w:val="00401314"/>
    <w:rsid w:val="00430CD1"/>
    <w:rsid w:val="0043122D"/>
    <w:rsid w:val="00453961"/>
    <w:rsid w:val="00526186"/>
    <w:rsid w:val="00542DA9"/>
    <w:rsid w:val="00634883"/>
    <w:rsid w:val="0067361B"/>
    <w:rsid w:val="00792E47"/>
    <w:rsid w:val="007A636F"/>
    <w:rsid w:val="00845FE7"/>
    <w:rsid w:val="0087353B"/>
    <w:rsid w:val="00900510"/>
    <w:rsid w:val="009E4270"/>
    <w:rsid w:val="00A2221F"/>
    <w:rsid w:val="00AE14D0"/>
    <w:rsid w:val="00B5791D"/>
    <w:rsid w:val="00BF568C"/>
    <w:rsid w:val="00C94265"/>
    <w:rsid w:val="00CA0A9A"/>
    <w:rsid w:val="00DB41DA"/>
    <w:rsid w:val="00E4589F"/>
    <w:rsid w:val="00F52F1C"/>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7230</Words>
  <Characters>41215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6</cp:revision>
  <dcterms:created xsi:type="dcterms:W3CDTF">2023-09-21T10:20:00Z</dcterms:created>
  <dcterms:modified xsi:type="dcterms:W3CDTF">2024-01-04T08:53:00Z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