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B00C7A" w:rsidRDefault="00B00C7A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350145" w:rsidRPr="00350145" w:rsidRDefault="00350145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B00C7A" w:rsidRPr="00350145" w:rsidRDefault="00B00C7A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350145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47432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E96420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6977F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675"/>
        <w:gridCol w:w="1418"/>
        <w:gridCol w:w="3827"/>
        <w:gridCol w:w="851"/>
        <w:gridCol w:w="708"/>
        <w:gridCol w:w="1276"/>
        <w:gridCol w:w="1418"/>
      </w:tblGrid>
      <w:tr w:rsidR="0011187A" w:rsidRPr="004246C8" w:rsidTr="0047432E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Наименование товара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 xml:space="preserve">Техническая спецификация 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Ед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>.и</w:t>
            </w:r>
            <w:proofErr w:type="gramEnd"/>
            <w:r w:rsidRPr="0011187A">
              <w:rPr>
                <w:rFonts w:ascii="Times New Roman" w:hAnsi="Times New Roman" w:cs="Times New Roman"/>
                <w:sz w:val="18"/>
              </w:rPr>
              <w:t>зм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Кол-во</w:t>
            </w:r>
          </w:p>
        </w:tc>
        <w:tc>
          <w:tcPr>
            <w:tcW w:w="1276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Цена</w:t>
            </w:r>
          </w:p>
        </w:tc>
        <w:tc>
          <w:tcPr>
            <w:tcW w:w="141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Сумма</w:t>
            </w:r>
          </w:p>
        </w:tc>
      </w:tr>
      <w:tr w:rsidR="0047432E" w:rsidRPr="004246C8" w:rsidTr="0047432E">
        <w:tc>
          <w:tcPr>
            <w:tcW w:w="675" w:type="dxa"/>
          </w:tcPr>
          <w:p w:rsidR="0047432E" w:rsidRPr="0011187A" w:rsidRDefault="0047432E" w:rsidP="0047432E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7432E" w:rsidRPr="00A04E61" w:rsidRDefault="0047432E" w:rsidP="0047432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4E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 хирургических инструментов (гинеколог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ический</w:t>
            </w:r>
            <w:r w:rsidRPr="00A04E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47432E" w:rsidRPr="0059366A" w:rsidRDefault="0047432E" w:rsidP="0047432E">
            <w:pPr>
              <w:rPr>
                <w:rFonts w:ascii="Times New Roman" w:hAnsi="Times New Roman"/>
                <w:sz w:val="14"/>
                <w:szCs w:val="14"/>
              </w:rPr>
            </w:pPr>
            <w:r w:rsidRPr="0047432E">
              <w:rPr>
                <w:rFonts w:ascii="Times New Roman" w:hAnsi="Times New Roman"/>
                <w:sz w:val="14"/>
                <w:szCs w:val="14"/>
              </w:rPr>
              <w:t xml:space="preserve">Щипцы  - 1 шт. Щипцы для проводки дренажа </w:t>
            </w:r>
            <w:proofErr w:type="spellStart"/>
            <w:r w:rsidRPr="0047432E">
              <w:rPr>
                <w:rFonts w:ascii="Times New Roman" w:hAnsi="Times New Roman"/>
                <w:sz w:val="14"/>
                <w:szCs w:val="14"/>
              </w:rPr>
              <w:t>двухшарнирные</w:t>
            </w:r>
            <w:proofErr w:type="spellEnd"/>
            <w:r w:rsidRPr="0047432E">
              <w:rPr>
                <w:rFonts w:ascii="Times New Roman" w:hAnsi="Times New Roman"/>
                <w:sz w:val="14"/>
                <w:szCs w:val="14"/>
              </w:rPr>
              <w:t xml:space="preserve"> с промежуточным подвижным звеном. Шарниры приводятся в движение с помощью рукояток, </w:t>
            </w:r>
            <w:proofErr w:type="spellStart"/>
            <w:r w:rsidRPr="0047432E">
              <w:rPr>
                <w:rFonts w:ascii="Times New Roman" w:hAnsi="Times New Roman"/>
                <w:sz w:val="14"/>
                <w:szCs w:val="14"/>
              </w:rPr>
              <w:t>последнее-от</w:t>
            </w:r>
            <w:proofErr w:type="spellEnd"/>
            <w:r w:rsidRPr="0047432E">
              <w:rPr>
                <w:rFonts w:ascii="Times New Roman" w:hAnsi="Times New Roman"/>
                <w:sz w:val="14"/>
                <w:szCs w:val="14"/>
              </w:rPr>
              <w:t xml:space="preserve"> промежуточного звена. Рабочая часть прямая, имеет ребристую поверхность </w:t>
            </w:r>
            <w:proofErr w:type="spellStart"/>
            <w:r w:rsidRPr="0047432E">
              <w:rPr>
                <w:rFonts w:ascii="Times New Roman" w:hAnsi="Times New Roman"/>
                <w:sz w:val="14"/>
                <w:szCs w:val="14"/>
              </w:rPr>
              <w:t>оливообразной</w:t>
            </w:r>
            <w:proofErr w:type="spellEnd"/>
            <w:r w:rsidRPr="0047432E">
              <w:rPr>
                <w:rFonts w:ascii="Times New Roman" w:hAnsi="Times New Roman"/>
                <w:sz w:val="14"/>
                <w:szCs w:val="14"/>
              </w:rPr>
              <w:t xml:space="preserve"> формы, размер рабочей части по осям 25х5мм. Общая длина 240 мм. Ширина раскрытия </w:t>
            </w:r>
            <w:proofErr w:type="gramStart"/>
            <w:r w:rsidRPr="0047432E">
              <w:rPr>
                <w:rFonts w:ascii="Times New Roman" w:hAnsi="Times New Roman"/>
                <w:sz w:val="14"/>
                <w:szCs w:val="14"/>
              </w:rPr>
              <w:t>рабочей</w:t>
            </w:r>
            <w:proofErr w:type="gramEnd"/>
            <w:r w:rsidRPr="0047432E">
              <w:rPr>
                <w:rFonts w:ascii="Times New Roman" w:hAnsi="Times New Roman"/>
                <w:sz w:val="14"/>
                <w:szCs w:val="14"/>
              </w:rPr>
              <w:t xml:space="preserve"> до 110мм. Расход момента перекрестной  части до 70мм.  Материал изготовления: высоколегированная нержавеющая сталь в антибликовом (матовом) исполнении с показателями твердости не менее 57 единиц по шкале </w:t>
            </w:r>
            <w:proofErr w:type="spellStart"/>
            <w:r w:rsidRPr="0047432E">
              <w:rPr>
                <w:rFonts w:ascii="Times New Roman" w:hAnsi="Times New Roman"/>
                <w:sz w:val="14"/>
                <w:szCs w:val="14"/>
              </w:rPr>
              <w:t>Роквелла</w:t>
            </w:r>
            <w:proofErr w:type="spellEnd"/>
            <w:r w:rsidRPr="0047432E">
              <w:rPr>
                <w:rFonts w:ascii="Times New Roman" w:hAnsi="Times New Roman"/>
                <w:sz w:val="14"/>
                <w:szCs w:val="14"/>
              </w:rPr>
              <w:t>. Маркировка должна быть выполнена лазерным способом и включать в себя наименование или фирменный знак производителя, каталожный номер, индивидуальный номер партии. Инструмент должен иметь индивидуальную упаковку и инструкцию на русском  и казахском языках. Гарантийный срок эксплуатации - не менее 1 года. Ножницы - 5шт.</w:t>
            </w:r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Ножницы операционные должны быть прямые с острыми кончиками. Длина рабочей части от кончиков до винта 32±2 мм. Ширина в месте соединения 6,3±0,5 мм, толщина 3,8±0,5 мм. Рукоятки должны быть кольцевыми. Общая длина не менее 95 мм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ине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более 105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Зажим - 5шт. Зажим для кишечника и желудка.  Рабочая часть петлеобразная с поперечной насечкой на внутренней части. Размеры окна длина 14,8±1 мм, ширина 8,3±0,5. Ширина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браншей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12,8±1 мм, длина насечки 23,5±1 мм. Рабочая длина 87,5±2 мм. Соединение инструмента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наразъёмное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gramStart"/>
            <w:r w:rsidRPr="0059366A">
              <w:rPr>
                <w:rFonts w:ascii="Times New Roman" w:hAnsi="Times New Roman"/>
                <w:sz w:val="14"/>
                <w:szCs w:val="14"/>
              </w:rPr>
              <w:t>Замковая</w:t>
            </w:r>
            <w:proofErr w:type="gram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чать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шириной 9,7±0,5 мм, толщиной 6±0,5 мм. Рукоятки кольцевые, наличие кремальеры. Общая длина инструмента не менее 240 мм и не более 250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- 3шт.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маточная, рабочая часть петлеобразная, слабо загнутая в рабочую сторону, по форме капли, должна иметь крупную поперечную насечку, ширина петли 10±0,5 мм, длина 18±1 мм. Общая длина не менее 295 мм и не более 305 мм. Рукоятка плоская овальная с продольным углублением в средней части.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- 3шт.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маточная, рабочая часть петлеобразная, слабо загнутая в рабочую сторону, по форме капли, должна иметь крупную поперечную насечку, ширина петли 13±0,5 мм, длина 23±1 мм. Общая длина не менее 300 мм и не более 310 мм. Рукоятка плоская овальная с продольным углублением в средней части.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- 3шт.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маточная, рабочая часть петлеобразная, слабо загнутая в рабочую сторону, по форме капли, должна иметь крупную поперечную насечку, ширина петли 15±0,5 мм, длина 23±1 мм. Общая длина не менее 300 мм и не более 310 мм. Рукоятка плоская овальная с продольным углублением в средней части.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</w:t>
            </w:r>
            <w:r w:rsidRPr="0059366A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Инструмент должен иметь инструкцию на русском языке и казахском языках. Гарантийный срок эксплуатации не менее  12 мес.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- 3шт.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маточная, рабочая часть петлеобразная, слабо загнутая в  сторону, по форме капли, должна иметь крупную поперечную насечку, ширина петли 17±0,5 мм, длина 26±1 мм. Общая длина не менее 300 мм и не более 310 мм. Рукоятка плоская овальная с продольным углублением в средней части.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- 3шт.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маточная, рабочая часть петлеобразная, слабо загнутая в рабочую сторону, по форме капли, должна иметь крупную поперечную насечку, ширина петли 18±0,5 мм, длина 27±1 мм. Общая длина не менее 295 мм и не более 305 мм. Рукоятка плоская овальная с продольным углублением в средней части.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- 3шт.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маточная, рабочая часть петлеобразная, слабо загнутая в рабочую сторону, по форме капли, должна иметь крупную поперечную насечку, ширина петли 21±0,5 мм, длина 32±1 мм. Общая длина не менее 300 мм и не более 310 мм. Рукоятка плоская овальная с продольным углублением в средней части.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- 2шт.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маточная, острая, жесткая. Общая длина - 310мм ± 2 мм. Рабочая часть петлевидная, размером: длина - 20 мм ± 1 мм, ширина - 8 мм. Рукоять продольная с желобом, длиной 115 мм, шириной 17,5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- 2шт.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маточная, острая, жесткая. Общая длина - 310мм ± 2 мм. Рабочая часть петлевидная, размером: длина - 20 мм ± 1 мм, ширина - 12 мм. Рукоять продольная с желобом, длиной 115 мм, шириной 17,5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- 2шт.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Кюретка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маточная, острая, жесткая. Общая длина - 310мм ± 2 мм. Рабочая часть петлевидная, размером: длина - 20 мм ± 1 мм, ширина - 14 мм. Рукоять продольная с желобом, длиной 115 мм, шириной 17,5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Щипцы - 2шт. Щипцы для перевязочного материала и тампонов прямые. Общая длина 245 +/- 5 мм.  Рабочая часть перфорированная, гладкая. Размер перфорации: длина 15,2 +/- 1 мм, ширина 8,5 +/- 0,5 мм. Ширина рабочей части 13,5 +/- 1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Щипцы - 3шт. Щипцы для тампонов, должны быть прямыми, общая длина не менее 175 мм и не более 185 мм. Рабочая должна быть петлеобразной,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окончатой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, с поперечной насечкой.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Щипцы - 2шт. Щипцы геморроидальные. Рабочая часть прямая, круглая, наружный диаметр 19±2 мм, диаметр окна 10±0,5 мм, длина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браншей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72,5±3 мм, толщина кончиков в сомкнутом состоянии 5,4±0,5 мм, на </w:t>
            </w:r>
            <w:r w:rsidRPr="0059366A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внутренней части рабочей части наличие канавки. Соединение двух частей инструмента неразъёмное шириной 9,8±1 мм, толщиной 5,6±0,5 мм. Рукоятки кольцевые, наличие кремальеры. Общая длина не менее 222 мм и не боле 232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Щипцы - 2шт. Щипцы, рабочая </w:t>
            </w:r>
            <w:proofErr w:type="gramStart"/>
            <w:r w:rsidRPr="0059366A">
              <w:rPr>
                <w:rFonts w:ascii="Times New Roman" w:hAnsi="Times New Roman"/>
                <w:sz w:val="14"/>
                <w:szCs w:val="14"/>
              </w:rPr>
              <w:t>часть</w:t>
            </w:r>
            <w:proofErr w:type="gram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изогнутая по плоскости, с отклонением от оси инструмента 35,8±3 мм, круглая, наружный диаметр 19±2 мм, диаметр окна 9±0,5 мм, длина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браншей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65,5±3 мм, толщина кончиков в сомкнутом состоянии 5,4±0,5 мм, на внутренней части рабочей части наличие канавки. Соединение двух частей инструмента неразъёмное шириной 9,8±1 мм, толщиной 5,6±0,5 мм. Рукоятки кольцевые, наличие кремальеры. Общая длина не менее 210 мм и не боле 225 мм. 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</w:t>
            </w:r>
          </w:p>
        </w:tc>
        <w:tc>
          <w:tcPr>
            <w:tcW w:w="851" w:type="dxa"/>
          </w:tcPr>
          <w:p w:rsidR="0047432E" w:rsidRPr="00A04E61" w:rsidRDefault="0047432E" w:rsidP="0047432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4E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Набор </w:t>
            </w:r>
          </w:p>
        </w:tc>
        <w:tc>
          <w:tcPr>
            <w:tcW w:w="708" w:type="dxa"/>
          </w:tcPr>
          <w:p w:rsidR="0047432E" w:rsidRPr="00A04E61" w:rsidRDefault="0047432E" w:rsidP="0047432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4E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7432E" w:rsidRPr="0011187A" w:rsidRDefault="0047432E" w:rsidP="004743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2 523 931,00</w:t>
            </w:r>
          </w:p>
        </w:tc>
        <w:tc>
          <w:tcPr>
            <w:tcW w:w="1418" w:type="dxa"/>
          </w:tcPr>
          <w:p w:rsidR="0047432E" w:rsidRPr="0011187A" w:rsidRDefault="0047432E" w:rsidP="004743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2 523 931,00</w:t>
            </w:r>
          </w:p>
        </w:tc>
      </w:tr>
      <w:tr w:rsidR="0047432E" w:rsidRPr="004246C8" w:rsidTr="0047432E">
        <w:tc>
          <w:tcPr>
            <w:tcW w:w="675" w:type="dxa"/>
          </w:tcPr>
          <w:p w:rsidR="0047432E" w:rsidRPr="0011187A" w:rsidRDefault="0047432E" w:rsidP="0047432E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</w:tcPr>
          <w:p w:rsidR="0047432E" w:rsidRDefault="0047432E" w:rsidP="0047432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 хирургических инструментов (малый операционный)</w:t>
            </w:r>
          </w:p>
        </w:tc>
        <w:tc>
          <w:tcPr>
            <w:tcW w:w="3827" w:type="dxa"/>
          </w:tcPr>
          <w:p w:rsidR="0047432E" w:rsidRPr="0059366A" w:rsidRDefault="0047432E" w:rsidP="0047432E">
            <w:pPr>
              <w:rPr>
                <w:rFonts w:ascii="Times New Roman" w:hAnsi="Times New Roman"/>
                <w:sz w:val="14"/>
                <w:szCs w:val="14"/>
              </w:rPr>
            </w:pPr>
            <w:r w:rsidRPr="0047432E">
              <w:rPr>
                <w:rFonts w:ascii="Times New Roman" w:hAnsi="Times New Roman"/>
                <w:sz w:val="14"/>
                <w:szCs w:val="14"/>
              </w:rPr>
              <w:t>Иглодержатель – 1 шт. Иглодержатель с автоматическим механизмом стягивания костных отломков проволокой,  с твердосплавными вставками</w:t>
            </w:r>
            <w:proofErr w:type="gramStart"/>
            <w:r w:rsidRPr="0047432E">
              <w:rPr>
                <w:rFonts w:ascii="Times New Roman" w:hAnsi="Times New Roman"/>
                <w:sz w:val="14"/>
                <w:szCs w:val="14"/>
              </w:rPr>
              <w:t xml:space="preserve"> ,</w:t>
            </w:r>
            <w:proofErr w:type="gramEnd"/>
            <w:r w:rsidRPr="0047432E">
              <w:rPr>
                <w:rFonts w:ascii="Times New Roman" w:hAnsi="Times New Roman"/>
                <w:sz w:val="14"/>
                <w:szCs w:val="14"/>
              </w:rPr>
              <w:t xml:space="preserve"> длина не менее 175 мм  и не более 180 мм. В комбинации с проволокой при осуществлении круговых движений используется для фиксации отломков. Материал</w:t>
            </w:r>
            <w:proofErr w:type="gramStart"/>
            <w:r w:rsidRPr="0047432E">
              <w:rPr>
                <w:rFonts w:ascii="Times New Roman" w:hAnsi="Times New Roman"/>
                <w:sz w:val="14"/>
                <w:szCs w:val="14"/>
              </w:rPr>
              <w:t xml:space="preserve"> :</w:t>
            </w:r>
            <w:proofErr w:type="gramEnd"/>
            <w:r w:rsidRPr="0047432E">
              <w:rPr>
                <w:rFonts w:ascii="Times New Roman" w:hAnsi="Times New Roman"/>
                <w:sz w:val="14"/>
                <w:szCs w:val="14"/>
              </w:rPr>
              <w:t xml:space="preserve"> Нержавеющая сталь, карбид вольфрама, покрытие нитрид титана с показателями твердости не менее 57 единиц по шкале </w:t>
            </w:r>
            <w:proofErr w:type="spellStart"/>
            <w:r w:rsidRPr="0047432E">
              <w:rPr>
                <w:rFonts w:ascii="Times New Roman" w:hAnsi="Times New Roman"/>
                <w:sz w:val="14"/>
                <w:szCs w:val="14"/>
              </w:rPr>
              <w:t>Роквелла</w:t>
            </w:r>
            <w:proofErr w:type="spellEnd"/>
            <w:r w:rsidRPr="0047432E">
              <w:rPr>
                <w:rFonts w:ascii="Times New Roman" w:hAnsi="Times New Roman"/>
                <w:sz w:val="14"/>
                <w:szCs w:val="14"/>
              </w:rPr>
              <w:t xml:space="preserve">. Маркировка должна быть выполнена лазерным способом и включать в себя наименование или фирменный знак производителя, каталожный номер, индивидуальный номер партии. Инструмент должен иметь индивидуальную упаковку и инструкцию на русском  и казахском языках. Гарантийный срок эксплуатации - не менее 1 </w:t>
            </w:r>
            <w:proofErr w:type="spellStart"/>
            <w:r w:rsidRPr="0047432E">
              <w:rPr>
                <w:rFonts w:ascii="Times New Roman" w:hAnsi="Times New Roman"/>
                <w:sz w:val="14"/>
                <w:szCs w:val="14"/>
              </w:rPr>
              <w:t>года</w:t>
            </w:r>
            <w:proofErr w:type="gramStart"/>
            <w:r w:rsidRPr="0047432E">
              <w:rPr>
                <w:rFonts w:ascii="Times New Roman" w:hAnsi="Times New Roman"/>
                <w:sz w:val="14"/>
                <w:szCs w:val="14"/>
              </w:rPr>
              <w:t>.Т</w:t>
            </w:r>
            <w:proofErr w:type="gramEnd"/>
            <w:r w:rsidRPr="0047432E">
              <w:rPr>
                <w:rFonts w:ascii="Times New Roman" w:hAnsi="Times New Roman"/>
                <w:sz w:val="14"/>
                <w:szCs w:val="14"/>
              </w:rPr>
              <w:t>рокар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- 1шт.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Трокар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полостной, должен состоять из полой трубки диаметром 6,8+/-0,2 мм, в которую вставляется острый стилет. Должен применяться для прокола полости и спускания из неё воздуха или жидкости перед операцией. Рукоятка должна быть плоской с углублением овальной формы. Общая длина не менее 235 мм и не более 245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Ножницы - 10шт. Ножницы операционные прямые, должны быть тупоконечными. Рабочие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бранши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длиной 65±3 мм. Толщина кончиков при смыкании 2±0,3 мм, ширина 5±0,5 мм. Соединение винтовое. Толщина в месте соединений двух частей 7±0,5 мм, ширина 12±0,5 мм. Общая длина не менее 155 мм и не более 165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Ножницы - 10шт. Ножницы операционные, должны быть прямые с острыми кончиками. Длина рабочей части от кончиков до винта 32±2 мм. Ширина в месте соединения 6,3±0,5 мм, толщина 3,8±0,5 мм. Рукоятки должны быть кольцевыми. Общая длина не менее 95 мм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ине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более 105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Ножницы - 5шт. Ножницы для повязок, рабочая часть должна быть усиленной широкой, изогнутой по ребру инструмента с отклонением 33±2 мм. Длина лезвий от кончика до винта 73±3 мм. Одна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должна оканчиваться овальным утолщением равным 4,2±0,5 мм. Соединение инструмента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виновое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шириной 19±1 мм, толщиной 10±1 мм. Общая длина инструмента не менее 215 мм и не более 225 мм. Материал изготовления: высоколегированная нержавеющая сталь </w:t>
            </w:r>
            <w:r w:rsidRPr="0059366A">
              <w:rPr>
                <w:rFonts w:ascii="Times New Roman" w:hAnsi="Times New Roman"/>
                <w:b/>
                <w:bCs/>
                <w:sz w:val="14"/>
                <w:szCs w:val="14"/>
              </w:rPr>
              <w:t>в антибликовом (матовом) исполнении</w:t>
            </w:r>
            <w:r w:rsidRPr="0059366A">
              <w:rPr>
                <w:rFonts w:ascii="Times New Roman" w:hAnsi="Times New Roman"/>
                <w:sz w:val="14"/>
                <w:szCs w:val="14"/>
              </w:rPr>
              <w:t xml:space="preserve"> с показателями твердости не менее 57 единиц по шкале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Роквелла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>. Маркировка должна быть выполнена лазерным способом и включать в себя наименование или фирменный знак производителя, каталожный номер, индивидуальный номер партии. Инструмент должен иметь индивидуальную упаковку и инструкцию на русском  и казахском языках. Гарантийный срок эксплуатации - не менее 1 года.</w:t>
            </w:r>
          </w:p>
          <w:p w:rsidR="0047432E" w:rsidRPr="0059366A" w:rsidRDefault="0047432E" w:rsidP="0047432E">
            <w:pPr>
              <w:rPr>
                <w:rFonts w:ascii="Times New Roman" w:hAnsi="Times New Roman"/>
                <w:sz w:val="14"/>
                <w:szCs w:val="14"/>
              </w:rPr>
            </w:pPr>
            <w:r w:rsidRPr="0059366A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Пинцет - 10шт. Пинцет хирургический. Общая длина - 205 мм ± 5 мм. Длина рифления на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браншах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- 52 мм. Рабочая часть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должна содержать зубцы 1х2, размером: толщина - 4 мм ± 0,3 мм, ширина - 3,0 мм ± 0,5 мм. Ширина места стыка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- 10,9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Пинцет - 10шт</w:t>
            </w:r>
            <w:proofErr w:type="gramStart"/>
            <w:r w:rsidRPr="0059366A">
              <w:rPr>
                <w:rFonts w:ascii="Times New Roman" w:hAnsi="Times New Roman"/>
                <w:sz w:val="14"/>
                <w:szCs w:val="14"/>
              </w:rPr>
              <w:t>.П</w:t>
            </w:r>
            <w:proofErr w:type="gram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инцет анатомический. Общая длина - 205 мм ± 5 мм. Ширина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в месте захвата - 11 мм ± 1 мм. Ширина кончиков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- 3,0 мм ± 0,5 мм. Насечка на внутренней поверхности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: длина - 25 мм ± 1 мм, шаг - 1,0 мм, тип - поперечная. 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Зажим - 10шт. Зажим артериальный. Общая длина - 155 мм ± 5 мм.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Бранши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изогнутые, длиной 28,6 мм ± 0,3 мм, должны содержать поперечную насечку с шагом 0,6 мм. Ширина дистальной части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в сомкнутом состоянии - 2,78 мм ± 0,1 мм. Толщина кончиков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-  2,3 мм ± 0,1 мм. Замковая часть: ширина - 7 мм ± 0,3 мм, толщина - 4,6 мм ± 0,2 мм. Отклонение от оси - 11,4 мм ± 0,2 мм. Наличие кремальеры 3х3 зуба с шагом 1,75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Зажим - 10шт. Зажим артериальный, должен быть прямым, рабочие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бранши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с мелкозубчатой насечкой длиной 24±2 мм, толщина и ширина кончиков в сомкнутом состоянии должна быть 1,5±0,3. Соединение должно быть неразъёмным, ширина в месте соединения 6,8±0,5 мм, толщина 4±0,5 мм. Рукоятки должны быть кольцевыми с кремальерой 3х3 зуба. Общая длина инструмента не менее 150 мм и не более 160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Иглодержатель - 10шт. Иглодержатель с твердосплавными вставками. </w:t>
            </w:r>
            <w:proofErr w:type="spellStart"/>
            <w:r w:rsidRPr="0059366A">
              <w:rPr>
                <w:rFonts w:ascii="Times New Roman" w:hAnsi="Times New Roman"/>
                <w:sz w:val="14"/>
                <w:szCs w:val="14"/>
              </w:rPr>
              <w:t>Бранши</w:t>
            </w:r>
            <w:proofErr w:type="spellEnd"/>
            <w:r w:rsidRPr="0059366A">
              <w:rPr>
                <w:rFonts w:ascii="Times New Roman" w:hAnsi="Times New Roman"/>
                <w:sz w:val="14"/>
                <w:szCs w:val="14"/>
              </w:rPr>
              <w:t xml:space="preserve"> с ромбовидной насечкой, ширина кончиков 2,3±0,3 мм, толщина в сомкнутом состоянии 4,3±0,5 мм, длина рабочей части 15,3±1 мм. Соединение двух частей инструмента неразъёмное шириной 10,3±1 мм, толщиной 5,5±0,5 мм. Рукоятки кольцевые.  Наличие зубчатой кремальеры.  Общая длина инструмента не менее 195 мм и не более 205 мм. Маркировка твёрдого сплава должна быть выражена напылением нитрида титана золотистого цвета на кольца.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</w:t>
            </w:r>
          </w:p>
        </w:tc>
        <w:tc>
          <w:tcPr>
            <w:tcW w:w="851" w:type="dxa"/>
          </w:tcPr>
          <w:p w:rsidR="0047432E" w:rsidRDefault="0047432E" w:rsidP="0047432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Набор </w:t>
            </w:r>
          </w:p>
        </w:tc>
        <w:tc>
          <w:tcPr>
            <w:tcW w:w="708" w:type="dxa"/>
          </w:tcPr>
          <w:p w:rsidR="0047432E" w:rsidRDefault="0047432E" w:rsidP="0047432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7432E" w:rsidRPr="0011187A" w:rsidRDefault="0047432E" w:rsidP="0047432E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4 090 839,00</w:t>
            </w:r>
          </w:p>
        </w:tc>
        <w:tc>
          <w:tcPr>
            <w:tcW w:w="1418" w:type="dxa"/>
          </w:tcPr>
          <w:p w:rsidR="0047432E" w:rsidRPr="0011187A" w:rsidRDefault="0047432E" w:rsidP="0047432E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4 090 839,00</w:t>
            </w:r>
          </w:p>
        </w:tc>
      </w:tr>
      <w:tr w:rsidR="0047432E" w:rsidRPr="004246C8" w:rsidTr="0047432E">
        <w:tc>
          <w:tcPr>
            <w:tcW w:w="675" w:type="dxa"/>
          </w:tcPr>
          <w:p w:rsidR="0047432E" w:rsidRPr="0011187A" w:rsidRDefault="0047432E" w:rsidP="00474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432E" w:rsidRPr="0047432E" w:rsidRDefault="0047432E" w:rsidP="0047432E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47432E">
              <w:rPr>
                <w:rFonts w:ascii="Times New Roman" w:hAnsi="Times New Roman" w:cs="Times New Roman"/>
                <w:b/>
                <w:color w:val="000000"/>
                <w:sz w:val="18"/>
              </w:rPr>
              <w:t>Итого:</w:t>
            </w:r>
          </w:p>
        </w:tc>
        <w:tc>
          <w:tcPr>
            <w:tcW w:w="3827" w:type="dxa"/>
          </w:tcPr>
          <w:p w:rsidR="0047432E" w:rsidRPr="0047432E" w:rsidRDefault="0047432E" w:rsidP="0047432E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851" w:type="dxa"/>
          </w:tcPr>
          <w:p w:rsidR="0047432E" w:rsidRPr="0047432E" w:rsidRDefault="0047432E" w:rsidP="0047432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8" w:type="dxa"/>
          </w:tcPr>
          <w:p w:rsidR="0047432E" w:rsidRPr="0047432E" w:rsidRDefault="0047432E" w:rsidP="0047432E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1276" w:type="dxa"/>
          </w:tcPr>
          <w:p w:rsidR="0047432E" w:rsidRPr="0047432E" w:rsidRDefault="0047432E" w:rsidP="0047432E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1418" w:type="dxa"/>
          </w:tcPr>
          <w:p w:rsidR="0047432E" w:rsidRPr="0047432E" w:rsidRDefault="0047432E" w:rsidP="0047432E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47432E">
              <w:rPr>
                <w:rFonts w:ascii="Times New Roman" w:hAnsi="Times New Roman" w:cs="Times New Roman"/>
                <w:b/>
                <w:sz w:val="18"/>
                <w:szCs w:val="21"/>
              </w:rPr>
              <w:t>6 614 770,00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t>улица Абая 336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br/>
        <w:t>Срок поставки: один день после подписания договора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A53DBD">
      <w:pPr>
        <w:pStyle w:val="a3"/>
        <w:rPr>
          <w:rFonts w:ascii="Times New Roman" w:hAnsi="Times New Roman"/>
          <w:b/>
          <w:sz w:val="21"/>
          <w:szCs w:val="21"/>
        </w:rPr>
      </w:pPr>
      <w:r w:rsidRPr="00A53DBD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t>06.02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.2023  г</w:t>
      </w:r>
      <w:proofErr w:type="gramStart"/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 в 1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t>13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F22A92">
        <w:rPr>
          <w:rFonts w:ascii="Times New Roman" w:hAnsi="Times New Roman"/>
          <w:b/>
          <w:sz w:val="21"/>
          <w:szCs w:val="21"/>
          <w:lang w:eastAsia="ru-RU"/>
        </w:rPr>
        <w:t>февраля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тов </w:t>
      </w:r>
      <w:r w:rsidR="00190DD3">
        <w:rPr>
          <w:rFonts w:ascii="Times New Roman" w:hAnsi="Times New Roman"/>
          <w:b/>
          <w:sz w:val="21"/>
          <w:szCs w:val="21"/>
          <w:lang w:eastAsia="ru-RU"/>
        </w:rPr>
        <w:t>по ценовым предложением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t>: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br/>
        <w:t xml:space="preserve"> 13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F22A92">
        <w:rPr>
          <w:rFonts w:ascii="Times New Roman" w:hAnsi="Times New Roman"/>
          <w:b/>
          <w:sz w:val="21"/>
          <w:szCs w:val="21"/>
          <w:lang w:eastAsia="ru-RU"/>
        </w:rPr>
        <w:t>февраля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2024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 xml:space="preserve"> г., в 12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7C" w:rsidRDefault="00775E7C">
      <w:r>
        <w:separator/>
      </w:r>
    </w:p>
  </w:endnote>
  <w:endnote w:type="continuationSeparator" w:id="0">
    <w:p w:rsidR="00775E7C" w:rsidRDefault="0077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7C" w:rsidRDefault="00775E7C">
      <w:r>
        <w:separator/>
      </w:r>
    </w:p>
  </w:footnote>
  <w:footnote w:type="continuationSeparator" w:id="0">
    <w:p w:rsidR="00775E7C" w:rsidRDefault="00775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A4F6E"/>
    <w:rsid w:val="000B5D26"/>
    <w:rsid w:val="000C2918"/>
    <w:rsid w:val="000E6C4F"/>
    <w:rsid w:val="000F10B0"/>
    <w:rsid w:val="0011187A"/>
    <w:rsid w:val="001328C4"/>
    <w:rsid w:val="00140B1E"/>
    <w:rsid w:val="00190DD3"/>
    <w:rsid w:val="001C408A"/>
    <w:rsid w:val="001E49FA"/>
    <w:rsid w:val="001F6363"/>
    <w:rsid w:val="0021663B"/>
    <w:rsid w:val="002272D5"/>
    <w:rsid w:val="002414F6"/>
    <w:rsid w:val="00244FE4"/>
    <w:rsid w:val="002804FB"/>
    <w:rsid w:val="002809F8"/>
    <w:rsid w:val="002E1335"/>
    <w:rsid w:val="003260AE"/>
    <w:rsid w:val="00345DAA"/>
    <w:rsid w:val="00350145"/>
    <w:rsid w:val="00360AC3"/>
    <w:rsid w:val="0037580E"/>
    <w:rsid w:val="00395A9E"/>
    <w:rsid w:val="003C135A"/>
    <w:rsid w:val="003F1D07"/>
    <w:rsid w:val="00410247"/>
    <w:rsid w:val="0047432E"/>
    <w:rsid w:val="004A4831"/>
    <w:rsid w:val="004E44C2"/>
    <w:rsid w:val="004E5DE7"/>
    <w:rsid w:val="00511565"/>
    <w:rsid w:val="005152B3"/>
    <w:rsid w:val="00557CB1"/>
    <w:rsid w:val="00591D81"/>
    <w:rsid w:val="005C099A"/>
    <w:rsid w:val="005E686E"/>
    <w:rsid w:val="005F217A"/>
    <w:rsid w:val="00641844"/>
    <w:rsid w:val="00680887"/>
    <w:rsid w:val="006977F2"/>
    <w:rsid w:val="006C6091"/>
    <w:rsid w:val="006F518B"/>
    <w:rsid w:val="0070694E"/>
    <w:rsid w:val="007303E9"/>
    <w:rsid w:val="00734E88"/>
    <w:rsid w:val="00775E7C"/>
    <w:rsid w:val="007C4693"/>
    <w:rsid w:val="00807051"/>
    <w:rsid w:val="008226DF"/>
    <w:rsid w:val="0083153E"/>
    <w:rsid w:val="008461B7"/>
    <w:rsid w:val="008A2FD7"/>
    <w:rsid w:val="008B1448"/>
    <w:rsid w:val="008B7588"/>
    <w:rsid w:val="0090060A"/>
    <w:rsid w:val="009178C8"/>
    <w:rsid w:val="00922EB4"/>
    <w:rsid w:val="00925575"/>
    <w:rsid w:val="00945F48"/>
    <w:rsid w:val="009A02CC"/>
    <w:rsid w:val="00A20AFC"/>
    <w:rsid w:val="00A326DE"/>
    <w:rsid w:val="00A53DBD"/>
    <w:rsid w:val="00AD712F"/>
    <w:rsid w:val="00B00C7A"/>
    <w:rsid w:val="00B32506"/>
    <w:rsid w:val="00BC472C"/>
    <w:rsid w:val="00C168AA"/>
    <w:rsid w:val="00CA1BB3"/>
    <w:rsid w:val="00CA3D25"/>
    <w:rsid w:val="00CF549E"/>
    <w:rsid w:val="00D07512"/>
    <w:rsid w:val="00D07AE6"/>
    <w:rsid w:val="00D12716"/>
    <w:rsid w:val="00D812C2"/>
    <w:rsid w:val="00D902C9"/>
    <w:rsid w:val="00D96D83"/>
    <w:rsid w:val="00DB0796"/>
    <w:rsid w:val="00DC03B1"/>
    <w:rsid w:val="00E21422"/>
    <w:rsid w:val="00E3437B"/>
    <w:rsid w:val="00E4045E"/>
    <w:rsid w:val="00E96420"/>
    <w:rsid w:val="00EA7049"/>
    <w:rsid w:val="00ED6290"/>
    <w:rsid w:val="00F047FD"/>
    <w:rsid w:val="00F22A92"/>
    <w:rsid w:val="00F22BC6"/>
    <w:rsid w:val="00F22CFB"/>
    <w:rsid w:val="00F35C27"/>
    <w:rsid w:val="00FC2605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54</cp:revision>
  <cp:lastPrinted>2024-01-24T09:00:00Z</cp:lastPrinted>
  <dcterms:created xsi:type="dcterms:W3CDTF">2023-12-06T05:01:00Z</dcterms:created>
  <dcterms:modified xsi:type="dcterms:W3CDTF">2024-02-05T10:33:00Z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