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0C7A" w:rsidRPr="00350145" w:rsidRDefault="009A02CC" w:rsidP="00DE4AE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795DF2" w:rsidRDefault="0021663B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50145">
              <w:rPr>
                <w:b/>
                <w:sz w:val="23"/>
                <w:szCs w:val="23"/>
              </w:rPr>
              <w:t xml:space="preserve"> </w:t>
            </w:r>
            <w:r w:rsidR="00795DF2">
              <w:rPr>
                <w:rFonts w:ascii="Arial" w:hAnsi="Arial" w:cs="Arial"/>
                <w:color w:val="000000"/>
                <w:sz w:val="18"/>
                <w:szCs w:val="18"/>
              </w:rPr>
              <w:t>Приложение 4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 </w:t>
            </w:r>
            <w:hyperlink r:id="rId7" w:anchor="sub_id=100" w:history="1">
              <w:r>
                <w:rPr>
                  <w:rStyle w:val="a8"/>
                  <w:rFonts w:ascii="Arial" w:eastAsia="Calibri" w:hAnsi="Arial" w:cs="Arial"/>
                  <w:color w:val="000080"/>
                  <w:sz w:val="18"/>
                  <w:szCs w:val="18"/>
                </w:rPr>
                <w:t>правилам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организации и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проведения закупа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лекарственных</w:t>
            </w:r>
            <w:proofErr w:type="gramEnd"/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средств, медицинских изделий и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специализированных лечебных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продуктов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гарантированного</w:t>
            </w:r>
            <w:proofErr w:type="gramEnd"/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объема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бесплатной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медицинской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помощи, дополнительного объема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медицинской помощи для лиц,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содержащихся в следственных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изоляторах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учреждениях уголовно-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исполнительной (пенитенциарной)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системы, за счет бюджетных средств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 (или) в системе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обязательного</w:t>
            </w:r>
            <w:proofErr w:type="gramEnd"/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социального медицинского страхования,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фармацевтических услуг</w:t>
            </w:r>
          </w:p>
          <w:p w:rsidR="00795DF2" w:rsidRDefault="00795DF2" w:rsidP="00795DF2">
            <w:pPr>
              <w:pStyle w:val="pr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Форма</w:t>
            </w:r>
          </w:p>
          <w:p w:rsidR="002E7E6F" w:rsidRDefault="002E7E6F" w:rsidP="00690C86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F22CFB" w:rsidRPr="003859DC" w:rsidRDefault="0021663B" w:rsidP="00E71CA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Объявление №</w:t>
            </w:r>
            <w:r w:rsidR="004E5972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3</w:t>
            </w:r>
            <w:r w:rsidR="000E496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984FBF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 w:rsidR="00E96420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запроса ценовых предложении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4E597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лекарственных средств и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2389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tblpX="-601" w:tblpY="1"/>
        <w:tblOverlap w:val="never"/>
        <w:tblW w:w="10173" w:type="dxa"/>
        <w:tblLayout w:type="fixed"/>
        <w:tblLook w:val="04A0"/>
      </w:tblPr>
      <w:tblGrid>
        <w:gridCol w:w="675"/>
        <w:gridCol w:w="1985"/>
        <w:gridCol w:w="3260"/>
        <w:gridCol w:w="851"/>
        <w:gridCol w:w="850"/>
        <w:gridCol w:w="1134"/>
        <w:gridCol w:w="1418"/>
      </w:tblGrid>
      <w:tr w:rsidR="004E5972" w:rsidRPr="004246C8" w:rsidTr="005409C3">
        <w:tc>
          <w:tcPr>
            <w:tcW w:w="675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260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851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18" w:type="dxa"/>
          </w:tcPr>
          <w:p w:rsidR="004E5972" w:rsidRPr="008E41D9" w:rsidRDefault="004E5972" w:rsidP="00540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1D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4E5972" w:rsidRPr="00B44F80" w:rsidTr="0038404F">
        <w:tc>
          <w:tcPr>
            <w:tcW w:w="675" w:type="dxa"/>
            <w:vAlign w:val="center"/>
          </w:tcPr>
          <w:p w:rsidR="004E5972" w:rsidRPr="0038404F" w:rsidRDefault="004E5972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Мочеточниковый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катетер для стандартного применения, цилиндрический, закрытый, Ch.3 длина 70 см, экстра гладкий 223600</w:t>
            </w:r>
          </w:p>
          <w:p w:rsidR="004E5972" w:rsidRPr="0038404F" w:rsidRDefault="004E5972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катетер для диагностических и лечебных целей. Предназначены для введения в мочеточники и почки через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катетеризационные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цистоскопы с целью диагностики и лечения. Используются в следующих случаях: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обтурация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мочеточника различной этиологии, проведение ретроградной пиелографии, получение порции мочи из почечной лоханки для проведения анализов. Наконечник прямой цилиндрический, закрытого типа.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Изготовлен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из поливинилхлорида, экстра - гладкий.</w:t>
            </w:r>
          </w:p>
          <w:p w:rsidR="004E5972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Рентгенконтрастный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, градуировка в см. </w:t>
            </w: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/зеленая метка для определения правой/левой стороны. Встроенный переходник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Luer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мандреном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Размер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3, длина 70см, 1 дренажное отверстие. Стерильно, для одноразового использования. Не содержит латекса.</w:t>
            </w:r>
          </w:p>
        </w:tc>
        <w:tc>
          <w:tcPr>
            <w:tcW w:w="851" w:type="dxa"/>
            <w:vAlign w:val="center"/>
          </w:tcPr>
          <w:p w:rsidR="004E5972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E5972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vAlign w:val="center"/>
          </w:tcPr>
          <w:p w:rsidR="004E5972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5FED" w:rsidRPr="00384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155FED" w:rsidRPr="003840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E5972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57 000,00</w:t>
            </w:r>
          </w:p>
        </w:tc>
      </w:tr>
      <w:tr w:rsidR="004E5972" w:rsidRPr="00B44F80" w:rsidTr="0038404F">
        <w:tc>
          <w:tcPr>
            <w:tcW w:w="675" w:type="dxa"/>
            <w:vAlign w:val="center"/>
          </w:tcPr>
          <w:p w:rsidR="004E5972" w:rsidRPr="0038404F" w:rsidRDefault="004E5972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Мочеточниковый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катетер для стандартного применения, цилиндрический, закрытый,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4 длина 70 см, экстра гладкий 223600</w:t>
            </w:r>
          </w:p>
          <w:p w:rsidR="004E5972" w:rsidRPr="0038404F" w:rsidRDefault="004E5972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катетер для диагностических и лечебных целей. Предназначены для введения в мочеточники и почки через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катетеризационные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цистоскопы с целью диагностики и лечения. Используются в следующих случаях: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обтурация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мочеточника различной этиологии, проведение ретроградной пиелографии, получение порции мочи из почечной лоханки для проведения анализов. Наконечник 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прямой цилиндрический, закрытого типа.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Изготовлен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из поливинилхлорида, экстра - гладкий.</w:t>
            </w:r>
          </w:p>
          <w:p w:rsidR="004E5972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Рентгенконтрастный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, градуировка в см. </w:t>
            </w: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/зеленая метка для определения правой/левой стороны. Встроенный переходник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Luer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мандреном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Размер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4, длина 70см, 1 дренажное отверстие. Стерильно, для одноразового использования. Не содержит латекса.</w:t>
            </w:r>
          </w:p>
        </w:tc>
        <w:tc>
          <w:tcPr>
            <w:tcW w:w="851" w:type="dxa"/>
            <w:vAlign w:val="center"/>
          </w:tcPr>
          <w:p w:rsidR="004E5972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E5972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vAlign w:val="center"/>
          </w:tcPr>
          <w:p w:rsidR="004E5972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55FED"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</w:t>
            </w:r>
            <w:r w:rsidR="00155FED"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vAlign w:val="center"/>
          </w:tcPr>
          <w:p w:rsidR="004E5972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57 000,00</w:t>
            </w:r>
          </w:p>
        </w:tc>
      </w:tr>
      <w:tr w:rsidR="00453B77" w:rsidRPr="00B44F80" w:rsidTr="0038404F">
        <w:tc>
          <w:tcPr>
            <w:tcW w:w="67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Мочеточниковый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катетер для стандартного применения, цилиндрический, закрытый,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5 длина 70 см, экстра гладкий 223600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катетер для диагностических и лечебных целей. Предназначены для введения в мочеточники и почки через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катетеризационные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цистоскопы с целью диагностики и лечения. Используются в следующих случаях: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обтурация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мочеточника различной этиологии, проведение ретроградной пиелографии, получение порции мочи из почечной лоханки для проведения анализов. Наконечник прямой цилиндрический, закрытого типа.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Изготовлен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из поливинилхлорида, экстра - гладкий.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Рентгенконтрастный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, градуировка в см. </w:t>
            </w: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/зеленая метка для определения правой/левой стороны. Встроенный переходник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Luer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мандреном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Размер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5, длина 70см, 1 дренажное отверстие. Стерильно, для одноразового использования. Не содержит латекса.</w:t>
            </w:r>
          </w:p>
        </w:tc>
        <w:tc>
          <w:tcPr>
            <w:tcW w:w="851" w:type="dxa"/>
            <w:vAlign w:val="center"/>
          </w:tcPr>
          <w:p w:rsidR="00453B77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5FED" w:rsidRPr="003840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155FED" w:rsidRPr="003840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53B77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57 000,00</w:t>
            </w:r>
          </w:p>
        </w:tc>
      </w:tr>
      <w:tr w:rsidR="00453B77" w:rsidRPr="00B44F80" w:rsidTr="0038404F">
        <w:tc>
          <w:tcPr>
            <w:tcW w:w="67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ЕСО), цилиндрический закрытый, длина</w:t>
            </w:r>
            <w:proofErr w:type="gramEnd"/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26 см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хирургический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ЕСО, в наборе. Мочеточниковый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ЕСО, закрытого типа, с проводником, изготовлен и термопластичного материала (полиуретан), что обеспечивает комфорт для пациента, голубого цвета. Разметка в сантиметрах по всей длине. Закругленные концы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Пигтейл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 обеих сторон, проксимальный завиток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атравматичным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закрытого типа. Дренажные боковые отверстия расположены спиралевидно по всей длине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линия для определения направления загиба конца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по всей длине. Размер 6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(2 мм). Длина 26 см. Толкатель изготовлен из прозрачного полиуретана длиной 45см. Усиленная струна-проводник из нержавеющей стали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тефлоновым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длиной 100 см. </w:t>
            </w:r>
            <w:r w:rsidRPr="0038404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Два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пластиковых зажима. Продолжительность использования установленного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до 1 месяца. Стерильно, для 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одноразового использования. Не содержит латекса. Поставляется в собранном виде.</w:t>
            </w:r>
          </w:p>
        </w:tc>
        <w:tc>
          <w:tcPr>
            <w:tcW w:w="851" w:type="dxa"/>
            <w:vAlign w:val="center"/>
          </w:tcPr>
          <w:p w:rsidR="00453B77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53B77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540 000,00</w:t>
            </w:r>
          </w:p>
        </w:tc>
      </w:tr>
      <w:tr w:rsidR="00453B77" w:rsidRPr="00B44F80" w:rsidTr="0038404F">
        <w:tc>
          <w:tcPr>
            <w:tcW w:w="67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Superglide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Integral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, с центральным отверстием, Ch.6, 26 см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Мочеточниковый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- изготовлен из полиуретана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гидрогелевым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ретракционной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нитью на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везикальном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конце. Перед установкой: Для активации покрытия погрузите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в стерилизованную воду или физиологический раствор как минимум на 30 секунд.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должен оставаться увлажненным в процессе установки. Используйте влажную марлевую салфетку для обработки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его установки, если это необходимо. Не протирайте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сухой марлей или любыми растворителями, поскольку это может привести к повреждению покрытия.  Разметка в сантиметрах по всей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длине</w:t>
            </w: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ентгеноконтрастный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Закругленные концы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Пигтейл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 обеих сторон,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атравматичным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открытого типа. Дренажные отверстия расположены по всей длине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Линия для определения направления загиба конца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по всей длине. Размер 6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(2 мм). Длина 26см.  Толкатель - изготовлен из полиуретана желтого цвета длиной 45см. Гибкая струна-проводник из нержавеющей стали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тефлоновым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с неподвижным сердечником, гибким безопасным наконечником и жестким наконечником, длиной 150 см. Два фиксирующих зажима. Карта пациента. Продолжительность использования установленного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до 6 месяцев. Стерильно, для одноразового использования. Не содержит латекса. Поставляется в собранном виде.</w:t>
            </w:r>
          </w:p>
        </w:tc>
        <w:tc>
          <w:tcPr>
            <w:tcW w:w="851" w:type="dxa"/>
            <w:vAlign w:val="center"/>
          </w:tcPr>
          <w:p w:rsidR="00453B77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53B77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1 080 000</w:t>
            </w:r>
          </w:p>
        </w:tc>
      </w:tr>
      <w:tr w:rsidR="00453B77" w:rsidRPr="00B44F80" w:rsidTr="0038404F">
        <w:tc>
          <w:tcPr>
            <w:tcW w:w="67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Катетер для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нефростомии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в наборе. Диаметром 10,3F, длиной 23см.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№10064202040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53B77" w:rsidRPr="0038404F" w:rsidRDefault="005D6512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нефростомии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 катетером тип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пигтейл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составе: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br/>
              <w:t>- катетер</w:t>
            </w:r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  <w:proofErr w:type="spellStart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пигтейл</w:t>
            </w:r>
            <w:proofErr w:type="spellEnd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, диаметром: 10,3F (3,4 мм); длиной: 23 см – </w:t>
            </w:r>
            <w:proofErr w:type="spellStart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шт.;</w:t>
            </w:r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канюля металлическая усиливающая с </w:t>
            </w:r>
            <w:proofErr w:type="spellStart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эхогенным</w:t>
            </w:r>
            <w:proofErr w:type="spellEnd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кончиком – 1 </w:t>
            </w:r>
            <w:proofErr w:type="spellStart"/>
            <w:proofErr w:type="gramStart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proofErr w:type="gramStart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игла диаметром 18ga (1,3 мм) с </w:t>
            </w:r>
            <w:proofErr w:type="spellStart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эхогенным</w:t>
            </w:r>
            <w:proofErr w:type="spellEnd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кончиком и стилетом – 1 шт.;</w:t>
            </w:r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игла диаметром 21ga (0,81 мм) с </w:t>
            </w:r>
            <w:proofErr w:type="spellStart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эхогенным</w:t>
            </w:r>
            <w:proofErr w:type="spellEnd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кончиком и стилетом – 1 шт.;</w:t>
            </w:r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проводник диаметром 0,038" (0,97 мм), с J-образным кончиком – </w:t>
            </w:r>
            <w:proofErr w:type="spellStart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шт.;</w:t>
            </w:r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трубка соединительная с </w:t>
            </w:r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запорным краном для дренажного мешка – </w:t>
            </w:r>
            <w:proofErr w:type="spellStart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шт.;</w:t>
            </w:r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расширители </w:t>
            </w:r>
            <w:proofErr w:type="spellStart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фасциальные</w:t>
            </w:r>
            <w:proofErr w:type="spellEnd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, размеры 6F (2,0 мм), 7F (2,3 мм), 8F (2,7 мм), 9 F (3,0 мм</w:t>
            </w:r>
            <w:proofErr w:type="gramEnd"/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t>), 10F (3,3 мм), 12F (4,0 мм) – 6 шт.;</w:t>
            </w:r>
            <w:r w:rsidR="00453B77" w:rsidRPr="0038404F">
              <w:rPr>
                <w:rFonts w:ascii="Times New Roman" w:hAnsi="Times New Roman" w:cs="Times New Roman"/>
                <w:sz w:val="20"/>
                <w:szCs w:val="20"/>
              </w:rPr>
              <w:br/>
              <w:t>- скальпель – 1 шт.</w:t>
            </w:r>
          </w:p>
        </w:tc>
        <w:tc>
          <w:tcPr>
            <w:tcW w:w="851" w:type="dxa"/>
            <w:vAlign w:val="center"/>
          </w:tcPr>
          <w:p w:rsidR="00453B77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53B77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375 000,00</w:t>
            </w:r>
          </w:p>
        </w:tc>
      </w:tr>
      <w:tr w:rsidR="00453B77" w:rsidRPr="00B44F80" w:rsidTr="0038404F">
        <w:tc>
          <w:tcPr>
            <w:tcW w:w="67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Мочеточниковый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катетер для стандартного применения, цилиндрический, закрытый,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6 длина 70 см, экстра гладкий 223600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катетер для диагностических и лечебных целей. Предназначены для введения в мочеточники и почки через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катетеризационные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цистоскопы с целью диагностики и лечения. Используются в следующих случаях: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обтурация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мочеточника различной этиологии, проведение ретроградной пиелографии, получение порции мочи из почечной лоханки для проведения анализов. Наконечник прямой цилиндрический, закрытого типа.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Изготовлен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из поливинилхлорида, экстра - гладкий.</w:t>
            </w:r>
          </w:p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Рентгенконтрастный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, градуировка в см. </w:t>
            </w: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/зеленая метка для определения правой/левой стороны. Встроенный переходник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Luer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мандреном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Размер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6, длина 70см, 1 дренажное отверстие. Стерильно, для одноразового использования. Не содержит латекса.</w:t>
            </w:r>
          </w:p>
        </w:tc>
        <w:tc>
          <w:tcPr>
            <w:tcW w:w="851" w:type="dxa"/>
            <w:vAlign w:val="center"/>
          </w:tcPr>
          <w:p w:rsidR="00453B77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53B77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57 000,00</w:t>
            </w:r>
          </w:p>
        </w:tc>
      </w:tr>
      <w:tr w:rsidR="00453B77" w:rsidRPr="00B44F80" w:rsidTr="0038404F">
        <w:tc>
          <w:tcPr>
            <w:tcW w:w="67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85" w:type="dxa"/>
            <w:vAlign w:val="center"/>
          </w:tcPr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ЕСО), цилиндрический закрытый, длина</w:t>
            </w:r>
            <w:proofErr w:type="gramEnd"/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26 см Ch.4.8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хирургический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ЕСО, в наборе. Мочеточниковый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ЕСО, закрытого типа, с проводником, изготовлен и термопластичного материала (полиуретан), что обеспечивает комфорт для пациента, голубого цвета. Разметка в сантиметрах по всей длине. Закругленные концы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Пигтейл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 обеих сторон, проксимальный завиток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атравматичным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закрытого типа. Дренажные боковые отверстия расположены спиралевидно по всей длине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линия для определения направления загиба конца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по всей длине. Размер 4,8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(1,6 мм). Длина 26 см. Толкатель изготовлен из прозрачного полиуретана длиной 45см. Усиленная струна-проводник из нержавеющей стали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тефлоновым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длиной 100 см</w:t>
            </w:r>
            <w:proofErr w:type="gramStart"/>
            <w:r w:rsidRPr="0038404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" cy="19050"/>
                  <wp:effectExtent l="19050" t="0" r="9525" b="0"/>
                  <wp:docPr id="69" name="Picture 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ва пластиковых зажима. Продолжительность использования установленного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до 1 месяца. Стерильно, для одноразового использования. Не содержит латекса. Поставляется в собранном виде.</w:t>
            </w:r>
          </w:p>
        </w:tc>
        <w:tc>
          <w:tcPr>
            <w:tcW w:w="851" w:type="dxa"/>
            <w:vAlign w:val="center"/>
          </w:tcPr>
          <w:p w:rsidR="00453B77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53B77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</w:tr>
      <w:tr w:rsidR="00453B77" w:rsidRPr="00B44F80" w:rsidTr="0038404F">
        <w:tc>
          <w:tcPr>
            <w:tcW w:w="67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85" w:type="dxa"/>
            <w:vAlign w:val="center"/>
          </w:tcPr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Superglide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Integral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, с центральным отверстием, Ch.4.8, 26 см.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Мочеточниковый</w:t>
            </w:r>
            <w:proofErr w:type="gram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- изготовлен из полиуретана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гидрогелевым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ретракционной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нитью на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везикальном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конце. Перед установкой: Для активации покрытия погрузите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в стерилизованную воду или физиологический раствор как минимум на 30 секунд.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должен оставаться увлажненным в процессе установки. Используйте влажную марлевую салфетку для обработки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его установки, если это необходимо. Не протирайте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сухой марлей или любыми растворителями, поскольку это может привести к повреждению покрытия.  Разметка в сантиметрах по всей длине.</w:t>
            </w:r>
            <w:r w:rsidR="005D6512"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Закругленные концы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Пигтейл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 обеих сторон,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атравматичным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открытого типа. Дренажные отверстия расположены по всей длине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. Линия для определения направления загиба конца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по всей длине. Размер 4,8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(1,6 мм). Длина 26см.  Толкатель - изготовлен из полиуретана желтого цвета длиной 45см. Гибкая струна-проводник из нержавеющей стали с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тефлоновым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покрытием, с неподвижным сердечником, гибким безопасным наконечником и жестким наконечником, длиной 150 см. Два фиксирующих зажима. Карта пациента. </w:t>
            </w:r>
            <w:r w:rsidRPr="003840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Продолжительность использования установленного </w:t>
            </w:r>
            <w:proofErr w:type="spellStart"/>
            <w:r w:rsidRPr="0038404F">
              <w:rPr>
                <w:rFonts w:ascii="Times New Roman" w:hAnsi="Times New Roman" w:cs="Times New Roman"/>
                <w:bCs/>
                <w:sz w:val="20"/>
                <w:szCs w:val="20"/>
              </w:rPr>
              <w:t>стента</w:t>
            </w:r>
            <w:proofErr w:type="spellEnd"/>
            <w:r w:rsidRPr="003840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6 месяцев.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Стерильно, для одноразового использования. Не содержит латекса. Поставляется в собранном виде.</w:t>
            </w:r>
          </w:p>
        </w:tc>
        <w:tc>
          <w:tcPr>
            <w:tcW w:w="851" w:type="dxa"/>
            <w:vAlign w:val="center"/>
          </w:tcPr>
          <w:p w:rsidR="00453B77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53B77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720 000,00</w:t>
            </w:r>
          </w:p>
        </w:tc>
      </w:tr>
      <w:tr w:rsidR="00453B77" w:rsidRPr="00B44F80" w:rsidTr="0038404F">
        <w:tc>
          <w:tcPr>
            <w:tcW w:w="67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урологический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Zebra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диаметр 0,025 дюйма, длина 150 см, форма кончика прямой, с закручивающим зажимом </w:t>
            </w:r>
          </w:p>
        </w:tc>
        <w:tc>
          <w:tcPr>
            <w:tcW w:w="3260" w:type="dxa"/>
            <w:vAlign w:val="center"/>
          </w:tcPr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проводник с синими и белыми полосками обеспечивает превосходную визуальную обратную связь и управляемость. Платиновый дистальный наконечник обладает превосходными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рентгеноконтрастными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свойствами.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сердечник с гибким ПТФЭ покрытием устойчив к перегибам;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Гибкое ПТФЭ покрытие, предназначенное для комфортного вращения проводника;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Улучшенная визуализация - синие и белые полоски обеспечивают четкую эндоскопическую визуализацию движения проводника; Дистальный наконечник из платины хорошо визуализируется на рентгене;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Покрытие на дистальных 60 см, 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предназначено для уменьшения поверхностного трения, плавного ввода, продвижения и удаления проводника;</w:t>
            </w:r>
          </w:p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Доступно в диаметрах 0,025”, 0,032”, 0,035”, 0,038”</w:t>
            </w:r>
          </w:p>
        </w:tc>
        <w:tc>
          <w:tcPr>
            <w:tcW w:w="851" w:type="dxa"/>
            <w:vAlign w:val="center"/>
          </w:tcPr>
          <w:p w:rsidR="00453B77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53B77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270 000,00</w:t>
            </w:r>
          </w:p>
        </w:tc>
      </w:tr>
      <w:tr w:rsidR="00453B77" w:rsidRPr="00B44F80" w:rsidTr="0038404F">
        <w:tc>
          <w:tcPr>
            <w:tcW w:w="67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985" w:type="dxa"/>
            <w:vAlign w:val="center"/>
          </w:tcPr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Проводник урологический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Zebra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диаметр 0,032 дюйма, длина 150 см, форма кончика прямой, с закручивающим зажимом </w:t>
            </w:r>
          </w:p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проводник с синими и белыми полосками обеспечивает превосходную визуальную обратную связь и управляемость. Платиновый дистальный наконечник обладает превосходными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рентгеноконтрастными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свойствами.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сердечник с гибким ПТФЭ покрытием устойчив к перегибам;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Гибкое ПТФЭ покрытие, предназначенное для комфортного вращения проводника;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Улучшенная визуализация - синие и белые полоски обеспечивают четкую эндоскопическую визуализацию движения проводника; Дистальный наконечник из платины хорошо визуализируется на рентгене;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Покрытие на дистальных 60 см, предназначено для уменьшения поверхностного трения, плавного ввода, продвижения и удаления проводника;</w:t>
            </w:r>
          </w:p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Доступно в диаметрах 0,025”, 0,032”, 0,035”, 0,038”</w:t>
            </w:r>
          </w:p>
        </w:tc>
        <w:tc>
          <w:tcPr>
            <w:tcW w:w="851" w:type="dxa"/>
            <w:vAlign w:val="center"/>
          </w:tcPr>
          <w:p w:rsidR="00453B77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53B77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270 000,00</w:t>
            </w:r>
          </w:p>
        </w:tc>
      </w:tr>
      <w:tr w:rsidR="00453B77" w:rsidRPr="00B44F80" w:rsidTr="0038404F">
        <w:tc>
          <w:tcPr>
            <w:tcW w:w="675" w:type="dxa"/>
            <w:vAlign w:val="center"/>
          </w:tcPr>
          <w:p w:rsidR="00453B77" w:rsidRPr="0038404F" w:rsidRDefault="00453B77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985" w:type="dxa"/>
            <w:vAlign w:val="center"/>
          </w:tcPr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Проводник урологический</w:t>
            </w:r>
          </w:p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НИТИНОЛОВЫЙ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Zebra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диаметр 0,035 дюйма, длина 150 см, форма кончика прямой, с закручивающим зажимом </w:t>
            </w:r>
          </w:p>
        </w:tc>
        <w:tc>
          <w:tcPr>
            <w:tcW w:w="3260" w:type="dxa"/>
            <w:vAlign w:val="center"/>
          </w:tcPr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проводник с синими и белыми полосками обеспечивает превосходную визуальную обратную связь и управляемость. Платиновый дистальный наконечник обладает превосходными </w:t>
            </w: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рентгеноконтрастными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свойствами.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38404F">
              <w:rPr>
                <w:rFonts w:ascii="Times New Roman" w:hAnsi="Times New Roman" w:cs="Times New Roman"/>
                <w:sz w:val="20"/>
                <w:szCs w:val="20"/>
              </w:rPr>
              <w:t xml:space="preserve"> сердечник с гибким ПТФЭ покрытием устойчив к перегибам;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Гибкое ПТФЭ покрытие, предназначенное для комфортного вращения проводника;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Улучшенная визуализация - синие и белые полоски обеспечивают четкую эндоскопическую визуализацию движения проводника; Дистальный наконечник из платины хорошо визуализируется на рентгене;</w:t>
            </w:r>
          </w:p>
          <w:p w:rsidR="00B86B3E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Покрытие на дистальных 60 см, предназначено для уменьшения поверхностного трения, плавного ввода, продвижения и удаления проводника;</w:t>
            </w:r>
          </w:p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Доступно в диаметрах 0,025”, 0,032”, 0,035”, 0,038”</w:t>
            </w:r>
          </w:p>
        </w:tc>
        <w:tc>
          <w:tcPr>
            <w:tcW w:w="851" w:type="dxa"/>
            <w:vAlign w:val="center"/>
          </w:tcPr>
          <w:p w:rsidR="00453B77" w:rsidRPr="0038404F" w:rsidRDefault="00E442B1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53B77" w:rsidRPr="0038404F" w:rsidRDefault="00B86B3E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155FED"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53B77" w:rsidRPr="0038404F" w:rsidRDefault="00984FBF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270 000,00</w:t>
            </w:r>
          </w:p>
        </w:tc>
      </w:tr>
      <w:tr w:rsidR="00F778EB" w:rsidRPr="00B44F80" w:rsidTr="0038404F">
        <w:tc>
          <w:tcPr>
            <w:tcW w:w="675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85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Style w:val="s0"/>
                <w:sz w:val="20"/>
                <w:szCs w:val="20"/>
              </w:rPr>
            </w:pPr>
            <w:r w:rsidRPr="0038404F">
              <w:rPr>
                <w:rStyle w:val="s0"/>
                <w:sz w:val="20"/>
                <w:szCs w:val="20"/>
              </w:rPr>
              <w:t xml:space="preserve">Катетер </w:t>
            </w:r>
            <w:proofErr w:type="spellStart"/>
            <w:r w:rsidRPr="0038404F">
              <w:rPr>
                <w:rStyle w:val="s0"/>
                <w:sz w:val="20"/>
                <w:szCs w:val="20"/>
              </w:rPr>
              <w:t>Фолея</w:t>
            </w:r>
            <w:proofErr w:type="spellEnd"/>
            <w:r w:rsidRPr="0038404F">
              <w:rPr>
                <w:rStyle w:val="s0"/>
                <w:sz w:val="20"/>
                <w:szCs w:val="20"/>
              </w:rPr>
              <w:t xml:space="preserve"> уретральный 3-х </w:t>
            </w:r>
            <w:proofErr w:type="spellStart"/>
            <w:r w:rsidRPr="0038404F">
              <w:rPr>
                <w:rStyle w:val="s0"/>
                <w:sz w:val="20"/>
                <w:szCs w:val="20"/>
              </w:rPr>
              <w:lastRenderedPageBreak/>
              <w:t>ходовый</w:t>
            </w:r>
            <w:proofErr w:type="spellEnd"/>
          </w:p>
        </w:tc>
        <w:tc>
          <w:tcPr>
            <w:tcW w:w="3260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Style w:val="s0"/>
                <w:sz w:val="20"/>
                <w:szCs w:val="20"/>
              </w:rPr>
            </w:pPr>
            <w:r w:rsidRPr="0038404F">
              <w:rPr>
                <w:rStyle w:val="s0"/>
                <w:sz w:val="20"/>
                <w:szCs w:val="20"/>
              </w:rPr>
              <w:lastRenderedPageBreak/>
              <w:t xml:space="preserve">Катетер </w:t>
            </w:r>
            <w:proofErr w:type="spellStart"/>
            <w:r w:rsidRPr="0038404F">
              <w:rPr>
                <w:rStyle w:val="s0"/>
                <w:sz w:val="20"/>
                <w:szCs w:val="20"/>
              </w:rPr>
              <w:t>Фолея</w:t>
            </w:r>
            <w:proofErr w:type="spellEnd"/>
            <w:r w:rsidRPr="0038404F">
              <w:rPr>
                <w:rStyle w:val="s0"/>
                <w:sz w:val="20"/>
                <w:szCs w:val="20"/>
              </w:rPr>
              <w:t xml:space="preserve"> уретральный 3-х </w:t>
            </w:r>
            <w:proofErr w:type="spellStart"/>
            <w:r w:rsidRPr="0038404F">
              <w:rPr>
                <w:rStyle w:val="s0"/>
                <w:sz w:val="20"/>
                <w:szCs w:val="20"/>
              </w:rPr>
              <w:t>ходовый</w:t>
            </w:r>
            <w:proofErr w:type="spellEnd"/>
            <w:r w:rsidRPr="0038404F">
              <w:rPr>
                <w:rStyle w:val="s0"/>
                <w:sz w:val="20"/>
                <w:szCs w:val="20"/>
              </w:rPr>
              <w:t xml:space="preserve"> однократного применения </w:t>
            </w:r>
            <w:r w:rsidRPr="0038404F">
              <w:rPr>
                <w:rStyle w:val="s0"/>
                <w:sz w:val="20"/>
                <w:szCs w:val="20"/>
              </w:rPr>
              <w:lastRenderedPageBreak/>
              <w:t>стерильный, размер 22</w:t>
            </w:r>
          </w:p>
        </w:tc>
        <w:tc>
          <w:tcPr>
            <w:tcW w:w="851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418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23 520,00</w:t>
            </w:r>
          </w:p>
        </w:tc>
      </w:tr>
      <w:tr w:rsidR="00F778EB" w:rsidRPr="00B44F80" w:rsidTr="0038404F">
        <w:tc>
          <w:tcPr>
            <w:tcW w:w="675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1985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Style w:val="s0"/>
                <w:sz w:val="20"/>
                <w:szCs w:val="20"/>
              </w:rPr>
            </w:pPr>
            <w:r w:rsidRPr="0038404F">
              <w:rPr>
                <w:rStyle w:val="s0"/>
                <w:sz w:val="20"/>
                <w:szCs w:val="20"/>
              </w:rPr>
              <w:t xml:space="preserve">Катетер </w:t>
            </w:r>
            <w:proofErr w:type="spellStart"/>
            <w:r w:rsidRPr="0038404F">
              <w:rPr>
                <w:rStyle w:val="s0"/>
                <w:sz w:val="20"/>
                <w:szCs w:val="20"/>
              </w:rPr>
              <w:t>Фолея</w:t>
            </w:r>
            <w:proofErr w:type="spellEnd"/>
            <w:r w:rsidRPr="0038404F">
              <w:rPr>
                <w:rStyle w:val="s0"/>
                <w:sz w:val="20"/>
                <w:szCs w:val="20"/>
              </w:rPr>
              <w:t xml:space="preserve"> уретральный 3-х </w:t>
            </w:r>
            <w:proofErr w:type="spellStart"/>
            <w:r w:rsidRPr="0038404F">
              <w:rPr>
                <w:rStyle w:val="s0"/>
                <w:sz w:val="20"/>
                <w:szCs w:val="20"/>
              </w:rPr>
              <w:t>ходовый</w:t>
            </w:r>
            <w:proofErr w:type="spellEnd"/>
          </w:p>
        </w:tc>
        <w:tc>
          <w:tcPr>
            <w:tcW w:w="3260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Style w:val="s0"/>
                <w:sz w:val="20"/>
                <w:szCs w:val="20"/>
              </w:rPr>
            </w:pPr>
            <w:r w:rsidRPr="0038404F">
              <w:rPr>
                <w:rStyle w:val="s0"/>
                <w:sz w:val="20"/>
                <w:szCs w:val="20"/>
              </w:rPr>
              <w:t xml:space="preserve">Катетер </w:t>
            </w:r>
            <w:proofErr w:type="spellStart"/>
            <w:r w:rsidRPr="0038404F">
              <w:rPr>
                <w:rStyle w:val="s0"/>
                <w:sz w:val="20"/>
                <w:szCs w:val="20"/>
              </w:rPr>
              <w:t>Фолея</w:t>
            </w:r>
            <w:proofErr w:type="spellEnd"/>
            <w:r w:rsidRPr="0038404F">
              <w:rPr>
                <w:rStyle w:val="s0"/>
                <w:sz w:val="20"/>
                <w:szCs w:val="20"/>
              </w:rPr>
              <w:t xml:space="preserve"> уретральный 3-х </w:t>
            </w:r>
            <w:proofErr w:type="spellStart"/>
            <w:r w:rsidRPr="0038404F">
              <w:rPr>
                <w:rStyle w:val="s0"/>
                <w:sz w:val="20"/>
                <w:szCs w:val="20"/>
              </w:rPr>
              <w:t>ходовый</w:t>
            </w:r>
            <w:proofErr w:type="spellEnd"/>
            <w:r w:rsidRPr="0038404F">
              <w:rPr>
                <w:rStyle w:val="s0"/>
                <w:sz w:val="20"/>
                <w:szCs w:val="20"/>
              </w:rPr>
              <w:t xml:space="preserve"> однократного применения стерильный, размер 24</w:t>
            </w:r>
          </w:p>
        </w:tc>
        <w:tc>
          <w:tcPr>
            <w:tcW w:w="851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418" w:type="dxa"/>
            <w:vAlign w:val="center"/>
          </w:tcPr>
          <w:p w:rsidR="00F778EB" w:rsidRPr="0038404F" w:rsidRDefault="00F778EB" w:rsidP="003840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04F">
              <w:rPr>
                <w:rFonts w:ascii="Times New Roman" w:hAnsi="Times New Roman" w:cs="Times New Roman"/>
                <w:sz w:val="20"/>
                <w:szCs w:val="20"/>
              </w:rPr>
              <w:t>23 520,00</w:t>
            </w:r>
          </w:p>
        </w:tc>
      </w:tr>
      <w:tr w:rsidR="00453B77" w:rsidRPr="004A328F" w:rsidTr="005409C3">
        <w:trPr>
          <w:trHeight w:val="339"/>
        </w:trPr>
        <w:tc>
          <w:tcPr>
            <w:tcW w:w="8755" w:type="dxa"/>
            <w:gridSpan w:val="6"/>
            <w:vAlign w:val="center"/>
          </w:tcPr>
          <w:p w:rsidR="00453B77" w:rsidRPr="004A328F" w:rsidRDefault="00453B77" w:rsidP="00A25DD4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4A328F">
              <w:rPr>
                <w:rFonts w:ascii="Times New Roman" w:hAnsi="Times New Roman" w:cs="Times New Roman"/>
                <w:b/>
                <w:sz w:val="20"/>
                <w:szCs w:val="21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453B77" w:rsidRPr="00904F69" w:rsidRDefault="00133C3F" w:rsidP="0095360F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  <w:t>4</w:t>
            </w:r>
            <w:r w:rsidR="00F778EB"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  <w:t> 160 040</w:t>
            </w:r>
            <w:r>
              <w:rPr>
                <w:rFonts w:ascii="Times New Roman" w:hAnsi="Times New Roman" w:cs="Times New Roman"/>
                <w:b/>
                <w:sz w:val="20"/>
                <w:szCs w:val="21"/>
                <w:lang w:val="kk-KZ"/>
              </w:rPr>
              <w:t>,00</w:t>
            </w:r>
          </w:p>
        </w:tc>
      </w:tr>
    </w:tbl>
    <w:p w:rsidR="00F22CFB" w:rsidRPr="004A328F" w:rsidRDefault="00F22CFB">
      <w:pPr>
        <w:pStyle w:val="a3"/>
        <w:rPr>
          <w:rFonts w:ascii="Times New Roman" w:hAnsi="Times New Roman"/>
          <w:b/>
          <w:bCs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, 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t>улица Абая 336</w:t>
      </w:r>
      <w:r w:rsidR="00680887">
        <w:rPr>
          <w:rFonts w:ascii="Times New Roman" w:hAnsi="Times New Roman"/>
          <w:b/>
          <w:sz w:val="21"/>
          <w:szCs w:val="21"/>
          <w:lang w:eastAsia="ru-RU"/>
        </w:rPr>
        <w:br/>
        <w:t>Срок поставки:</w:t>
      </w:r>
      <w:r w:rsidR="00690C86">
        <w:rPr>
          <w:rFonts w:ascii="Times New Roman" w:hAnsi="Times New Roman"/>
          <w:b/>
          <w:sz w:val="21"/>
          <w:szCs w:val="21"/>
          <w:lang w:eastAsia="ru-RU"/>
        </w:rPr>
        <w:t xml:space="preserve"> по заявке заказчика до 31.12.2024г 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5C58F3" w:rsidRDefault="00A53DBD" w:rsidP="005C58F3">
      <w:pPr>
        <w:pStyle w:val="a3"/>
        <w:rPr>
          <w:rFonts w:ascii="Times New Roman" w:hAnsi="Times New Roman"/>
          <w:b/>
          <w:sz w:val="21"/>
          <w:szCs w:val="21"/>
        </w:rPr>
      </w:pPr>
      <w:r w:rsidRPr="004A328F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6B7051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3A4557"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E21422" w:rsidRPr="004A328F">
        <w:rPr>
          <w:rFonts w:ascii="Times New Roman" w:hAnsi="Times New Roman"/>
          <w:b/>
          <w:sz w:val="21"/>
          <w:szCs w:val="21"/>
          <w:lang w:eastAsia="ru-RU"/>
        </w:rPr>
        <w:t>.0</w:t>
      </w:r>
      <w:r w:rsidR="006B7051">
        <w:rPr>
          <w:rFonts w:ascii="Times New Roman" w:hAnsi="Times New Roman"/>
          <w:b/>
          <w:sz w:val="21"/>
          <w:szCs w:val="21"/>
          <w:lang w:val="kk-KZ" w:eastAsia="ru-RU"/>
        </w:rPr>
        <w:t>3</w:t>
      </w:r>
      <w:r w:rsidR="00723F4A">
        <w:rPr>
          <w:rFonts w:ascii="Times New Roman" w:hAnsi="Times New Roman"/>
          <w:b/>
          <w:sz w:val="21"/>
          <w:szCs w:val="21"/>
          <w:lang w:eastAsia="ru-RU"/>
        </w:rPr>
        <w:t>.20</w:t>
      </w:r>
      <w:r w:rsidR="00723F4A">
        <w:rPr>
          <w:rFonts w:ascii="Times New Roman" w:hAnsi="Times New Roman"/>
          <w:b/>
          <w:sz w:val="21"/>
          <w:szCs w:val="21"/>
          <w:lang w:val="kk-KZ" w:eastAsia="ru-RU"/>
        </w:rPr>
        <w:t>24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 г .  в 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br/>
        <w:t>Окончательный срок подачи документов:</w:t>
      </w:r>
      <w:r w:rsidR="00A0682A">
        <w:rPr>
          <w:rFonts w:ascii="Times New Roman" w:hAnsi="Times New Roman"/>
          <w:b/>
          <w:sz w:val="21"/>
          <w:szCs w:val="21"/>
          <w:lang w:eastAsia="ru-RU"/>
        </w:rPr>
        <w:t xml:space="preserve"> 2</w:t>
      </w:r>
      <w:r w:rsidR="003A4557">
        <w:rPr>
          <w:rFonts w:ascii="Times New Roman" w:hAnsi="Times New Roman"/>
          <w:b/>
          <w:sz w:val="21"/>
          <w:szCs w:val="21"/>
          <w:lang w:val="kk-KZ" w:eastAsia="ru-RU"/>
        </w:rPr>
        <w:t>6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 </w:t>
      </w:r>
      <w:r w:rsidR="004A2A68">
        <w:rPr>
          <w:rFonts w:ascii="Times New Roman" w:hAnsi="Times New Roman"/>
          <w:b/>
          <w:sz w:val="21"/>
          <w:szCs w:val="21"/>
          <w:lang w:eastAsia="ru-RU"/>
        </w:rPr>
        <w:t>марта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>4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тов </w:t>
      </w:r>
      <w:r w:rsidR="00190DD3" w:rsidRPr="004A328F">
        <w:rPr>
          <w:rFonts w:ascii="Times New Roman" w:hAnsi="Times New Roman"/>
          <w:b/>
          <w:sz w:val="21"/>
          <w:szCs w:val="21"/>
          <w:lang w:eastAsia="ru-RU"/>
        </w:rPr>
        <w:t>по ценовым предложением</w:t>
      </w:r>
      <w:r w:rsidR="00A0682A">
        <w:rPr>
          <w:rFonts w:ascii="Times New Roman" w:hAnsi="Times New Roman"/>
          <w:b/>
          <w:sz w:val="21"/>
          <w:szCs w:val="21"/>
          <w:lang w:eastAsia="ru-RU"/>
        </w:rPr>
        <w:t>:</w:t>
      </w:r>
      <w:r w:rsidR="00A0682A">
        <w:rPr>
          <w:rFonts w:ascii="Times New Roman" w:hAnsi="Times New Roman"/>
          <w:b/>
          <w:sz w:val="21"/>
          <w:szCs w:val="21"/>
          <w:lang w:eastAsia="ru-RU"/>
        </w:rPr>
        <w:br/>
        <w:t>26</w:t>
      </w:r>
      <w:r w:rsidR="00BC472C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4A2A68">
        <w:rPr>
          <w:rFonts w:ascii="Times New Roman" w:hAnsi="Times New Roman"/>
          <w:b/>
          <w:sz w:val="21"/>
          <w:szCs w:val="21"/>
          <w:lang w:eastAsia="ru-RU"/>
        </w:rPr>
        <w:t>марта</w:t>
      </w:r>
      <w:r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2024</w:t>
      </w:r>
      <w:r w:rsidR="009178C8" w:rsidRPr="004A328F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9332CE">
        <w:rPr>
          <w:rFonts w:ascii="Times New Roman" w:hAnsi="Times New Roman"/>
          <w:b/>
          <w:sz w:val="21"/>
          <w:szCs w:val="21"/>
          <w:lang w:eastAsia="ru-RU"/>
        </w:rPr>
        <w:t>2</w:t>
      </w:r>
      <w:r w:rsidR="0021663B" w:rsidRPr="004A328F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5C58F3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1B" w:rsidRDefault="00AF141B">
      <w:r>
        <w:separator/>
      </w:r>
    </w:p>
  </w:endnote>
  <w:endnote w:type="continuationSeparator" w:id="0">
    <w:p w:rsidR="00AF141B" w:rsidRDefault="00AF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1B" w:rsidRDefault="00AF141B">
      <w:r>
        <w:separator/>
      </w:r>
    </w:p>
  </w:footnote>
  <w:footnote w:type="continuationSeparator" w:id="0">
    <w:p w:rsidR="00AF141B" w:rsidRDefault="00AF1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36274"/>
    <w:rsid w:val="00064BCF"/>
    <w:rsid w:val="00073555"/>
    <w:rsid w:val="00081AA2"/>
    <w:rsid w:val="000A4F6E"/>
    <w:rsid w:val="000B5D26"/>
    <w:rsid w:val="000C1323"/>
    <w:rsid w:val="000C2918"/>
    <w:rsid w:val="000D370F"/>
    <w:rsid w:val="000E4965"/>
    <w:rsid w:val="000E6C4F"/>
    <w:rsid w:val="000F10B0"/>
    <w:rsid w:val="00110C5B"/>
    <w:rsid w:val="0011187A"/>
    <w:rsid w:val="00123892"/>
    <w:rsid w:val="001328C4"/>
    <w:rsid w:val="00133C3F"/>
    <w:rsid w:val="001374B5"/>
    <w:rsid w:val="00140B1E"/>
    <w:rsid w:val="00155FED"/>
    <w:rsid w:val="001666AA"/>
    <w:rsid w:val="00190DD3"/>
    <w:rsid w:val="001A3507"/>
    <w:rsid w:val="001A75A4"/>
    <w:rsid w:val="001C0CCD"/>
    <w:rsid w:val="001C408A"/>
    <w:rsid w:val="001C74E7"/>
    <w:rsid w:val="001E49FA"/>
    <w:rsid w:val="001F6363"/>
    <w:rsid w:val="00214142"/>
    <w:rsid w:val="0021663B"/>
    <w:rsid w:val="002414F6"/>
    <w:rsid w:val="00244FE4"/>
    <w:rsid w:val="00265BAF"/>
    <w:rsid w:val="0026771D"/>
    <w:rsid w:val="00276E20"/>
    <w:rsid w:val="002804FB"/>
    <w:rsid w:val="002809F8"/>
    <w:rsid w:val="00297342"/>
    <w:rsid w:val="002E1335"/>
    <w:rsid w:val="002E1823"/>
    <w:rsid w:val="002E7E6F"/>
    <w:rsid w:val="00302FAC"/>
    <w:rsid w:val="0031118D"/>
    <w:rsid w:val="00341CAF"/>
    <w:rsid w:val="00345DAA"/>
    <w:rsid w:val="00350145"/>
    <w:rsid w:val="0035752F"/>
    <w:rsid w:val="00360AC3"/>
    <w:rsid w:val="0036322A"/>
    <w:rsid w:val="0037580E"/>
    <w:rsid w:val="0037767F"/>
    <w:rsid w:val="0038404F"/>
    <w:rsid w:val="003859DC"/>
    <w:rsid w:val="00395A9E"/>
    <w:rsid w:val="003A34DF"/>
    <w:rsid w:val="003A4557"/>
    <w:rsid w:val="003A566D"/>
    <w:rsid w:val="003C135A"/>
    <w:rsid w:val="003D20C9"/>
    <w:rsid w:val="00410247"/>
    <w:rsid w:val="00423E4B"/>
    <w:rsid w:val="0042404B"/>
    <w:rsid w:val="0042614A"/>
    <w:rsid w:val="00437FD3"/>
    <w:rsid w:val="00453B77"/>
    <w:rsid w:val="004A2A68"/>
    <w:rsid w:val="004A328F"/>
    <w:rsid w:val="004A4831"/>
    <w:rsid w:val="004B2B46"/>
    <w:rsid w:val="004E44C2"/>
    <w:rsid w:val="004E5972"/>
    <w:rsid w:val="004E5DE7"/>
    <w:rsid w:val="005103C5"/>
    <w:rsid w:val="00511565"/>
    <w:rsid w:val="005152B3"/>
    <w:rsid w:val="00557CB1"/>
    <w:rsid w:val="00591D81"/>
    <w:rsid w:val="005B2C81"/>
    <w:rsid w:val="005C099A"/>
    <w:rsid w:val="005C3E5F"/>
    <w:rsid w:val="005C58F3"/>
    <w:rsid w:val="005D41E9"/>
    <w:rsid w:val="005D6512"/>
    <w:rsid w:val="005E686E"/>
    <w:rsid w:val="005F217A"/>
    <w:rsid w:val="0063504A"/>
    <w:rsid w:val="0064016B"/>
    <w:rsid w:val="00641844"/>
    <w:rsid w:val="00644A78"/>
    <w:rsid w:val="00676B90"/>
    <w:rsid w:val="00680887"/>
    <w:rsid w:val="00681786"/>
    <w:rsid w:val="0068365C"/>
    <w:rsid w:val="00690C86"/>
    <w:rsid w:val="006977F2"/>
    <w:rsid w:val="006A70B9"/>
    <w:rsid w:val="006B1A5A"/>
    <w:rsid w:val="006B7051"/>
    <w:rsid w:val="006C6091"/>
    <w:rsid w:val="006E7DE8"/>
    <w:rsid w:val="006F518B"/>
    <w:rsid w:val="00706346"/>
    <w:rsid w:val="0070694E"/>
    <w:rsid w:val="00723F4A"/>
    <w:rsid w:val="007303E9"/>
    <w:rsid w:val="00734E88"/>
    <w:rsid w:val="00745A8A"/>
    <w:rsid w:val="007810CD"/>
    <w:rsid w:val="00795DF2"/>
    <w:rsid w:val="007975FA"/>
    <w:rsid w:val="007C2012"/>
    <w:rsid w:val="007C4693"/>
    <w:rsid w:val="00807051"/>
    <w:rsid w:val="00820792"/>
    <w:rsid w:val="008226DF"/>
    <w:rsid w:val="0083153E"/>
    <w:rsid w:val="008461B7"/>
    <w:rsid w:val="008A2FD7"/>
    <w:rsid w:val="008B1448"/>
    <w:rsid w:val="008B32DD"/>
    <w:rsid w:val="008B7588"/>
    <w:rsid w:val="008C2FC8"/>
    <w:rsid w:val="008E41D9"/>
    <w:rsid w:val="008F781C"/>
    <w:rsid w:val="0090060A"/>
    <w:rsid w:val="009033F0"/>
    <w:rsid w:val="00904F69"/>
    <w:rsid w:val="009178C8"/>
    <w:rsid w:val="00922EB4"/>
    <w:rsid w:val="00925575"/>
    <w:rsid w:val="009332CE"/>
    <w:rsid w:val="009378CA"/>
    <w:rsid w:val="009412E9"/>
    <w:rsid w:val="00945F48"/>
    <w:rsid w:val="0095360F"/>
    <w:rsid w:val="00960DC1"/>
    <w:rsid w:val="00984FBF"/>
    <w:rsid w:val="009A02CC"/>
    <w:rsid w:val="00A0682A"/>
    <w:rsid w:val="00A11BA6"/>
    <w:rsid w:val="00A20AFC"/>
    <w:rsid w:val="00A25DD4"/>
    <w:rsid w:val="00A326DE"/>
    <w:rsid w:val="00A4530E"/>
    <w:rsid w:val="00A46248"/>
    <w:rsid w:val="00A53DBD"/>
    <w:rsid w:val="00A95706"/>
    <w:rsid w:val="00AA22AC"/>
    <w:rsid w:val="00AD26D2"/>
    <w:rsid w:val="00AD712F"/>
    <w:rsid w:val="00AE5B8F"/>
    <w:rsid w:val="00AF0B0A"/>
    <w:rsid w:val="00AF141B"/>
    <w:rsid w:val="00B00C7A"/>
    <w:rsid w:val="00B32506"/>
    <w:rsid w:val="00B44F80"/>
    <w:rsid w:val="00B452DB"/>
    <w:rsid w:val="00B857F5"/>
    <w:rsid w:val="00B86B3E"/>
    <w:rsid w:val="00BB7A7D"/>
    <w:rsid w:val="00BC472C"/>
    <w:rsid w:val="00BF55D9"/>
    <w:rsid w:val="00C168AA"/>
    <w:rsid w:val="00C63872"/>
    <w:rsid w:val="00C81238"/>
    <w:rsid w:val="00CA1BB3"/>
    <w:rsid w:val="00CA3D25"/>
    <w:rsid w:val="00CA6C8E"/>
    <w:rsid w:val="00CB101E"/>
    <w:rsid w:val="00CF549E"/>
    <w:rsid w:val="00D07512"/>
    <w:rsid w:val="00D07AE6"/>
    <w:rsid w:val="00D12716"/>
    <w:rsid w:val="00D145BE"/>
    <w:rsid w:val="00D538DF"/>
    <w:rsid w:val="00D812C2"/>
    <w:rsid w:val="00D902C9"/>
    <w:rsid w:val="00D96D83"/>
    <w:rsid w:val="00DB04E1"/>
    <w:rsid w:val="00DB0796"/>
    <w:rsid w:val="00DC03B1"/>
    <w:rsid w:val="00DD0663"/>
    <w:rsid w:val="00DE4AE0"/>
    <w:rsid w:val="00DF4BBB"/>
    <w:rsid w:val="00DF7358"/>
    <w:rsid w:val="00E21422"/>
    <w:rsid w:val="00E25BE7"/>
    <w:rsid w:val="00E3437B"/>
    <w:rsid w:val="00E4045E"/>
    <w:rsid w:val="00E4146B"/>
    <w:rsid w:val="00E442B1"/>
    <w:rsid w:val="00E71CAB"/>
    <w:rsid w:val="00E87C4F"/>
    <w:rsid w:val="00E96420"/>
    <w:rsid w:val="00E97502"/>
    <w:rsid w:val="00EC263A"/>
    <w:rsid w:val="00ED6290"/>
    <w:rsid w:val="00EF2E1D"/>
    <w:rsid w:val="00F047FD"/>
    <w:rsid w:val="00F21CC0"/>
    <w:rsid w:val="00F22A92"/>
    <w:rsid w:val="00F22CFB"/>
    <w:rsid w:val="00F35C27"/>
    <w:rsid w:val="00F610E0"/>
    <w:rsid w:val="00F7255A"/>
    <w:rsid w:val="00F778EB"/>
    <w:rsid w:val="00F93D91"/>
    <w:rsid w:val="00F96242"/>
    <w:rsid w:val="00FB218D"/>
    <w:rsid w:val="00FC2605"/>
    <w:rsid w:val="00FC7D4E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11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7C20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86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B3E"/>
    <w:rPr>
      <w:rFonts w:ascii="Tahoma" w:eastAsia="Times New Roman" w:hAnsi="Tahoma" w:cs="Tahoma"/>
      <w:sz w:val="16"/>
      <w:szCs w:val="16"/>
    </w:rPr>
  </w:style>
  <w:style w:type="paragraph" w:customStyle="1" w:styleId="pr">
    <w:name w:val="pr"/>
    <w:basedOn w:val="a"/>
    <w:rsid w:val="00795DF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95D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39646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7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128</cp:revision>
  <cp:lastPrinted>2024-01-24T09:00:00Z</cp:lastPrinted>
  <dcterms:created xsi:type="dcterms:W3CDTF">2023-12-06T05:01:00Z</dcterms:created>
  <dcterms:modified xsi:type="dcterms:W3CDTF">2024-04-29T08:16:00Z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