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C04C76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</w:t>
            </w:r>
            <w:r w:rsidR="005D0F8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984"/>
        <w:gridCol w:w="3402"/>
        <w:gridCol w:w="851"/>
        <w:gridCol w:w="850"/>
        <w:gridCol w:w="1134"/>
        <w:gridCol w:w="1418"/>
      </w:tblGrid>
      <w:tr w:rsidR="004E5972" w:rsidRPr="004246C8" w:rsidTr="00152BE5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402" w:type="dxa"/>
          </w:tcPr>
          <w:p w:rsidR="004E5972" w:rsidRPr="00E45765" w:rsidRDefault="004E5972" w:rsidP="000B04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4E5972" w:rsidRPr="00E84037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45765" w:rsidRPr="004246C8" w:rsidTr="00E45765">
        <w:trPr>
          <w:trHeight w:val="9015"/>
        </w:trPr>
        <w:tc>
          <w:tcPr>
            <w:tcW w:w="534" w:type="dxa"/>
            <w:vAlign w:val="center"/>
          </w:tcPr>
          <w:p w:rsidR="00E45765" w:rsidRPr="00E84037" w:rsidRDefault="00E45765" w:rsidP="00152BE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:rsidR="00E45765" w:rsidRPr="00E45765" w:rsidRDefault="00E45765" w:rsidP="00DB6B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Дистальная медиальная пластина для плечевой кости II, левая, правая  (L, R) 3 отв., 58 мм; 5 отв., 84 мм; 7 отв., 110 мм; 9 отв., 136 мм; 11 отв., 162 мм; 13 отв., 188 мм</w:t>
            </w:r>
            <w:proofErr w:type="gramEnd"/>
          </w:p>
        </w:tc>
        <w:tc>
          <w:tcPr>
            <w:tcW w:w="3402" w:type="dxa"/>
          </w:tcPr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Дистальная медиальная плечевая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Дистальная часть пластины должна быть отогнута кнаружи в соответствии с анатомической кривизной дистального отдела плечевой кости. Пластина имеет в проксимальной части отверстие для спиц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Киршнера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позволяющее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инвазивной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установки за счет конической формы краев пластины. Блокируемые отверстия не должны быть совмещены с овальными компрессионными отверстиями.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 В дистальной части пластина должна иметь 3 круглых блокировочных отверстия под винты диаметром не более 2,7 мм, позволяющих осуществлять через них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многонаправленное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введение винтов. </w:t>
            </w:r>
            <w:proofErr w:type="gram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диафизарной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пластина должна иметь 3, 5, 7, 9, 11, 13 отверстий, одно из них овальное, позволяющее проводить провизорную фиксацию кортикальным винтом диаметром не более 3,5 мм, введенным в нейтральном положении, либо обеспечивать эффект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межфрагментарной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компрессии при эксцентричном положении винта, остальные круглые блокировочные отверстия под винты диаметром не менее 3,5 мм.</w:t>
            </w:r>
            <w:proofErr w:type="gram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Расстояние между центрами отверстий должно составлять не менее 12,0 мм и не более 13,0 мм. Ширина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диафизарной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пластины должна составлять не менее 10,0 мм и не более 11,0 мм. Высота профиля должна составлять не менее 3,0 мм и не более 3,5 мм. Длина пластины должна составлять 58 мм, 84 мм, 110 мм, 136 мм, 162 мм, 188 мм. Пластина должна быть для левой и правой конечности и иметь  индивидуальную упаковку с маркировкой завода изготовителя.</w:t>
            </w:r>
          </w:p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45765" w:rsidRPr="00E45765" w:rsidRDefault="00E45765" w:rsidP="00240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45765" w:rsidRPr="00E45765" w:rsidRDefault="00E45765" w:rsidP="0024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576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45765" w:rsidRPr="00E45765" w:rsidRDefault="00E45765" w:rsidP="002406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45765" w:rsidRPr="00E45765" w:rsidRDefault="00E45765" w:rsidP="0024061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70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45765">
              <w:rPr>
                <w:rFonts w:ascii="Times New Roman" w:hAnsi="Times New Roman" w:cs="Times New Roman"/>
                <w:color w:val="000000"/>
              </w:rPr>
              <w:t>686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45765" w:rsidRPr="00E45765" w:rsidRDefault="00E45765" w:rsidP="0024061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353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45765">
              <w:rPr>
                <w:rFonts w:ascii="Times New Roman" w:hAnsi="Times New Roman" w:cs="Times New Roman"/>
                <w:color w:val="00000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E45765" w:rsidRPr="00B44F80" w:rsidTr="00152BE5">
        <w:tc>
          <w:tcPr>
            <w:tcW w:w="534" w:type="dxa"/>
            <w:vAlign w:val="center"/>
          </w:tcPr>
          <w:p w:rsidR="00E45765" w:rsidRPr="00E84037" w:rsidRDefault="00E45765" w:rsidP="00E457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84" w:type="dxa"/>
          </w:tcPr>
          <w:p w:rsidR="00E45765" w:rsidRPr="00E45765" w:rsidRDefault="00E45765" w:rsidP="00E457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Дистальная латеральная пластина для плечевой кости II, левая, правая  (L, R) 4 </w:t>
            </w:r>
            <w:proofErr w:type="spellStart"/>
            <w:proofErr w:type="gramStart"/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</w:t>
            </w:r>
            <w:proofErr w:type="spellEnd"/>
            <w:proofErr w:type="gramEnd"/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70 мм; 6 отв., 94 мм;      8 отв., 120 мм; 10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146 мм; 12 отв., 172 мм</w:t>
            </w:r>
          </w:p>
        </w:tc>
        <w:tc>
          <w:tcPr>
            <w:tcW w:w="3402" w:type="dxa"/>
          </w:tcPr>
          <w:p w:rsidR="00E45765" w:rsidRPr="00E45765" w:rsidRDefault="00E45765" w:rsidP="00E4576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Дистальная часть пластины должна быть отогнута кнаружи, иметь выступ книзу и быть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конически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расширена в соответствии с анатомической кривизной дистального отдела плечевой кости. Пластина имеет в проксимальной части отверстие для спиц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Киршнера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позволяющих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инвазивной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установки за счет конической </w:t>
            </w:r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формы краев.  Блокируемые отверстия не должны быть совмещены с овальными компрессионными отверстиями.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 В дистальной части пластина должна иметь 5 круглых блокировочных отверстий для винтов диаметром не более 2,7 мм, из них два в выступе, позволяющих осуществлять через них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многонаправленное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введение винтов. В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диафизарной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пластина должна иметь одно овальное отверстие, позволяющее проводить провизорную фиксацию кортикальным винтом диаметром не менее 3,5 мм, введенным в нейтральном положении, либо обеспечивать эффект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межфрагментарной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компрессии при эксцентричном положении винта. В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диафизарной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пластина должна иметь круглые блокировочные отверстия для винтов диаметром не менее 3,5 мм, расстояние между центрами отверстий должно составлять не менее 12,0 мм и не более 13,0 мм. Ширина </w:t>
            </w:r>
            <w:proofErr w:type="spellStart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диафизарной</w:t>
            </w:r>
            <w:proofErr w:type="spellEnd"/>
            <w:r w:rsidRPr="00E4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части пластины должна составлять не менее 10,0 мм и не более 11 мм. Высота профиля должна составлять не менее 2,5 мм и не более 3,0 мм. Длина пластины должна быть 70 мм, 94 мм, 120 мм, 146 мм, 172 мм. Пластина должна быть для левой и правой конечности и иметь  индивидуальную упаковку с маркировкой завода изготовителя.</w:t>
            </w:r>
          </w:p>
        </w:tc>
        <w:tc>
          <w:tcPr>
            <w:tcW w:w="851" w:type="dxa"/>
            <w:vAlign w:val="center"/>
          </w:tcPr>
          <w:p w:rsidR="00E45765" w:rsidRPr="00E45765" w:rsidRDefault="00E45765" w:rsidP="00E4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5765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45765" w:rsidRPr="00E45765" w:rsidRDefault="00E45765" w:rsidP="00E4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45765" w:rsidRPr="00E45765" w:rsidRDefault="00E45765" w:rsidP="00E4576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70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45765">
              <w:rPr>
                <w:rFonts w:ascii="Times New Roman" w:hAnsi="Times New Roman" w:cs="Times New Roman"/>
                <w:color w:val="000000"/>
              </w:rPr>
              <w:t>686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E45765" w:rsidRPr="00E45765" w:rsidRDefault="00E45765" w:rsidP="00E4576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45765">
              <w:rPr>
                <w:rFonts w:ascii="Times New Roman" w:hAnsi="Times New Roman" w:cs="Times New Roman"/>
                <w:color w:val="000000"/>
              </w:rPr>
              <w:t>353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45765">
              <w:rPr>
                <w:rFonts w:ascii="Times New Roman" w:hAnsi="Times New Roman" w:cs="Times New Roman"/>
                <w:color w:val="00000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E45765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E45765" w:rsidRPr="00E84037" w:rsidRDefault="00E45765" w:rsidP="00EB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E45765" w:rsidRPr="00E84037" w:rsidRDefault="00CC2703" w:rsidP="00EB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706 860,00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226BC5">
        <w:rPr>
          <w:rFonts w:ascii="Times New Roman" w:hAnsi="Times New Roman"/>
          <w:b/>
          <w:lang w:val="kk-KZ" w:eastAsia="ru-RU"/>
        </w:rPr>
        <w:t>23</w:t>
      </w:r>
      <w:r w:rsidR="00E21422" w:rsidRPr="008C6BA5">
        <w:rPr>
          <w:rFonts w:ascii="Times New Roman" w:hAnsi="Times New Roman"/>
          <w:b/>
          <w:lang w:eastAsia="ru-RU"/>
        </w:rPr>
        <w:t>.0</w:t>
      </w:r>
      <w:r w:rsidR="000E0214">
        <w:rPr>
          <w:rFonts w:ascii="Times New Roman" w:hAnsi="Times New Roman"/>
          <w:b/>
          <w:lang w:val="kk-KZ" w:eastAsia="ru-RU"/>
        </w:rPr>
        <w:t>9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226BC5">
        <w:rPr>
          <w:rFonts w:ascii="Times New Roman" w:hAnsi="Times New Roman"/>
          <w:b/>
          <w:lang w:val="kk-KZ" w:eastAsia="ru-RU"/>
        </w:rPr>
        <w:t>30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0E0214">
        <w:rPr>
          <w:rFonts w:ascii="Times New Roman" w:hAnsi="Times New Roman"/>
          <w:b/>
          <w:lang w:val="kk-KZ" w:eastAsia="ru-RU"/>
        </w:rPr>
        <w:t>сентября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226BC5">
        <w:rPr>
          <w:rFonts w:ascii="Times New Roman" w:hAnsi="Times New Roman"/>
          <w:b/>
          <w:lang w:val="kk-KZ" w:eastAsia="ru-RU"/>
        </w:rPr>
        <w:t>30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0E0214">
        <w:rPr>
          <w:rFonts w:ascii="Times New Roman" w:hAnsi="Times New Roman"/>
          <w:b/>
          <w:lang w:val="kk-KZ" w:eastAsia="ru-RU"/>
        </w:rPr>
        <w:t>сентября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4C" w:rsidRDefault="0014414C">
      <w:r>
        <w:separator/>
      </w:r>
    </w:p>
  </w:endnote>
  <w:endnote w:type="continuationSeparator" w:id="0">
    <w:p w:rsidR="0014414C" w:rsidRDefault="0014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4C" w:rsidRDefault="0014414C">
      <w:r>
        <w:separator/>
      </w:r>
    </w:p>
  </w:footnote>
  <w:footnote w:type="continuationSeparator" w:id="0">
    <w:p w:rsidR="0014414C" w:rsidRDefault="0014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1ABF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E0214"/>
    <w:rsid w:val="000E6C4F"/>
    <w:rsid w:val="000F10B0"/>
    <w:rsid w:val="00110C5B"/>
    <w:rsid w:val="0011187A"/>
    <w:rsid w:val="00114415"/>
    <w:rsid w:val="00123892"/>
    <w:rsid w:val="001328C4"/>
    <w:rsid w:val="001374B5"/>
    <w:rsid w:val="00140B1E"/>
    <w:rsid w:val="0014414C"/>
    <w:rsid w:val="00152BE5"/>
    <w:rsid w:val="00163698"/>
    <w:rsid w:val="001738DF"/>
    <w:rsid w:val="001775FD"/>
    <w:rsid w:val="00190DD3"/>
    <w:rsid w:val="001A3507"/>
    <w:rsid w:val="001A45EC"/>
    <w:rsid w:val="001A75A4"/>
    <w:rsid w:val="001C0CCD"/>
    <w:rsid w:val="001C408A"/>
    <w:rsid w:val="001C74E7"/>
    <w:rsid w:val="001E49FA"/>
    <w:rsid w:val="001F554E"/>
    <w:rsid w:val="001F6363"/>
    <w:rsid w:val="00214142"/>
    <w:rsid w:val="0021663B"/>
    <w:rsid w:val="00226BC5"/>
    <w:rsid w:val="002414F6"/>
    <w:rsid w:val="00244FE4"/>
    <w:rsid w:val="00252643"/>
    <w:rsid w:val="00265BAF"/>
    <w:rsid w:val="0026771D"/>
    <w:rsid w:val="00267B9B"/>
    <w:rsid w:val="002804FB"/>
    <w:rsid w:val="002809F8"/>
    <w:rsid w:val="002830C7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64D0"/>
    <w:rsid w:val="0037767F"/>
    <w:rsid w:val="003859DC"/>
    <w:rsid w:val="00395A9E"/>
    <w:rsid w:val="00395E88"/>
    <w:rsid w:val="003A2705"/>
    <w:rsid w:val="003A34DF"/>
    <w:rsid w:val="003A566D"/>
    <w:rsid w:val="003C135A"/>
    <w:rsid w:val="003C30FC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B753B"/>
    <w:rsid w:val="004C039A"/>
    <w:rsid w:val="004E44C2"/>
    <w:rsid w:val="004E5972"/>
    <w:rsid w:val="004E5DE7"/>
    <w:rsid w:val="005103C5"/>
    <w:rsid w:val="00511565"/>
    <w:rsid w:val="005152B3"/>
    <w:rsid w:val="00536FD0"/>
    <w:rsid w:val="00557CB1"/>
    <w:rsid w:val="00565C90"/>
    <w:rsid w:val="00566DD2"/>
    <w:rsid w:val="00567CE4"/>
    <w:rsid w:val="00591D81"/>
    <w:rsid w:val="005B2C81"/>
    <w:rsid w:val="005C099A"/>
    <w:rsid w:val="005C3E5F"/>
    <w:rsid w:val="005C58F3"/>
    <w:rsid w:val="005D0F89"/>
    <w:rsid w:val="005D41E9"/>
    <w:rsid w:val="005E686E"/>
    <w:rsid w:val="005F217A"/>
    <w:rsid w:val="005F5E3A"/>
    <w:rsid w:val="0063504A"/>
    <w:rsid w:val="0064016B"/>
    <w:rsid w:val="00641844"/>
    <w:rsid w:val="00644A78"/>
    <w:rsid w:val="00676B90"/>
    <w:rsid w:val="00680887"/>
    <w:rsid w:val="00680B18"/>
    <w:rsid w:val="0068365C"/>
    <w:rsid w:val="00690C86"/>
    <w:rsid w:val="006977F2"/>
    <w:rsid w:val="006A70B9"/>
    <w:rsid w:val="006B0874"/>
    <w:rsid w:val="006C6091"/>
    <w:rsid w:val="006E7DE8"/>
    <w:rsid w:val="006F518B"/>
    <w:rsid w:val="00706346"/>
    <w:rsid w:val="0070694E"/>
    <w:rsid w:val="007303E9"/>
    <w:rsid w:val="00734E88"/>
    <w:rsid w:val="00745A8A"/>
    <w:rsid w:val="0075433A"/>
    <w:rsid w:val="007975FA"/>
    <w:rsid w:val="007B0A03"/>
    <w:rsid w:val="007B2CDC"/>
    <w:rsid w:val="007C2012"/>
    <w:rsid w:val="007C4693"/>
    <w:rsid w:val="007D1CDC"/>
    <w:rsid w:val="007D2F69"/>
    <w:rsid w:val="007D4508"/>
    <w:rsid w:val="008052B8"/>
    <w:rsid w:val="00807051"/>
    <w:rsid w:val="00817431"/>
    <w:rsid w:val="00820792"/>
    <w:rsid w:val="008226DF"/>
    <w:rsid w:val="0083153E"/>
    <w:rsid w:val="008461B7"/>
    <w:rsid w:val="00853618"/>
    <w:rsid w:val="008563E5"/>
    <w:rsid w:val="008A2FD7"/>
    <w:rsid w:val="008B1448"/>
    <w:rsid w:val="008B32DD"/>
    <w:rsid w:val="008B7588"/>
    <w:rsid w:val="008C2FC8"/>
    <w:rsid w:val="008C6BA5"/>
    <w:rsid w:val="008E41D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5F48"/>
    <w:rsid w:val="00960DC1"/>
    <w:rsid w:val="009A02CC"/>
    <w:rsid w:val="00A20AFC"/>
    <w:rsid w:val="00A2791C"/>
    <w:rsid w:val="00A326DE"/>
    <w:rsid w:val="00A4530E"/>
    <w:rsid w:val="00A53DBD"/>
    <w:rsid w:val="00A57A8F"/>
    <w:rsid w:val="00A6711E"/>
    <w:rsid w:val="00A7568D"/>
    <w:rsid w:val="00AA22AC"/>
    <w:rsid w:val="00AD26D2"/>
    <w:rsid w:val="00AD712F"/>
    <w:rsid w:val="00AE5B8F"/>
    <w:rsid w:val="00B00C7A"/>
    <w:rsid w:val="00B32506"/>
    <w:rsid w:val="00B405F4"/>
    <w:rsid w:val="00B44F80"/>
    <w:rsid w:val="00B452DB"/>
    <w:rsid w:val="00B8360A"/>
    <w:rsid w:val="00B857F5"/>
    <w:rsid w:val="00BB7A7D"/>
    <w:rsid w:val="00BC472C"/>
    <w:rsid w:val="00BF55D9"/>
    <w:rsid w:val="00C04C76"/>
    <w:rsid w:val="00C168AA"/>
    <w:rsid w:val="00C621CB"/>
    <w:rsid w:val="00C63872"/>
    <w:rsid w:val="00C81238"/>
    <w:rsid w:val="00CA1BB3"/>
    <w:rsid w:val="00CA3D25"/>
    <w:rsid w:val="00CA7555"/>
    <w:rsid w:val="00CC2703"/>
    <w:rsid w:val="00CF549E"/>
    <w:rsid w:val="00D05183"/>
    <w:rsid w:val="00D07512"/>
    <w:rsid w:val="00D07AE6"/>
    <w:rsid w:val="00D12716"/>
    <w:rsid w:val="00D145BE"/>
    <w:rsid w:val="00D538DF"/>
    <w:rsid w:val="00D6301D"/>
    <w:rsid w:val="00D64081"/>
    <w:rsid w:val="00D812C2"/>
    <w:rsid w:val="00D902C9"/>
    <w:rsid w:val="00D96D83"/>
    <w:rsid w:val="00DB0796"/>
    <w:rsid w:val="00DB6B5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45765"/>
    <w:rsid w:val="00E84037"/>
    <w:rsid w:val="00E874EB"/>
    <w:rsid w:val="00E87C4F"/>
    <w:rsid w:val="00E96420"/>
    <w:rsid w:val="00E97502"/>
    <w:rsid w:val="00EB41DE"/>
    <w:rsid w:val="00EC55F9"/>
    <w:rsid w:val="00ED6290"/>
    <w:rsid w:val="00EF2E1D"/>
    <w:rsid w:val="00F047FD"/>
    <w:rsid w:val="00F067DD"/>
    <w:rsid w:val="00F06F7D"/>
    <w:rsid w:val="00F21CC0"/>
    <w:rsid w:val="00F22A92"/>
    <w:rsid w:val="00F22CFB"/>
    <w:rsid w:val="00F35C27"/>
    <w:rsid w:val="00F610E0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139</cp:revision>
  <cp:lastPrinted>2024-01-24T09:00:00Z</cp:lastPrinted>
  <dcterms:created xsi:type="dcterms:W3CDTF">2023-12-06T05:01:00Z</dcterms:created>
  <dcterms:modified xsi:type="dcterms:W3CDTF">2024-09-20T03:54:00Z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