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w:t>
      </w:r>
      <w:r w:rsidR="00D12372">
        <w:rPr>
          <w:b/>
          <w:lang w:val="kk-KZ"/>
        </w:rPr>
        <w:t>14</w:t>
      </w:r>
      <w:r w:rsidRPr="00357CF6">
        <w:rPr>
          <w:b/>
          <w:lang w:val="kk-KZ"/>
        </w:rPr>
        <w:t xml:space="preserve">» </w:t>
      </w:r>
      <w:r w:rsidR="000B7BB3">
        <w:rPr>
          <w:b/>
          <w:lang w:val="kk-KZ"/>
        </w:rPr>
        <w:t>октября</w:t>
      </w:r>
      <w:r w:rsidR="00430CD1" w:rsidRPr="00357CF6">
        <w:rPr>
          <w:b/>
          <w:lang w:val="kk-KZ"/>
        </w:rPr>
        <w:t xml:space="preserve"> 2024</w:t>
      </w:r>
      <w:r w:rsidRPr="00357CF6">
        <w:rPr>
          <w:b/>
          <w:lang w:val="kk-KZ"/>
        </w:rPr>
        <w:t xml:space="preserve"> года 1</w:t>
      </w:r>
      <w:r w:rsidR="009D2390">
        <w:rPr>
          <w:b/>
          <w:lang w:val="kk-KZ"/>
        </w:rPr>
        <w:t>2</w:t>
      </w:r>
      <w:r w:rsidRPr="00357CF6">
        <w:rPr>
          <w:b/>
          <w:lang w:val="kk-KZ"/>
        </w:rPr>
        <w:t>:00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357CF6" w:rsidRPr="00357CF6">
        <w:rPr>
          <w:b/>
        </w:rPr>
        <w:t xml:space="preserve"> в срок до 1</w:t>
      </w:r>
      <w:r w:rsidR="009D2390">
        <w:rPr>
          <w:b/>
        </w:rPr>
        <w:t xml:space="preserve">2 часов, 00 мин., </w:t>
      </w:r>
      <w:r w:rsidR="00D12372">
        <w:rPr>
          <w:b/>
          <w:lang w:val="kk-KZ"/>
        </w:rPr>
        <w:t>14</w:t>
      </w:r>
      <w:r w:rsidRPr="00357CF6">
        <w:rPr>
          <w:b/>
        </w:rPr>
        <w:t xml:space="preserve"> </w:t>
      </w:r>
      <w:r w:rsidR="000B7BB3">
        <w:rPr>
          <w:b/>
          <w:lang w:val="kk-KZ"/>
        </w:rPr>
        <w:t>октября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9D2390">
        <w:rPr>
          <w:b/>
        </w:rPr>
        <w:t>2</w:t>
      </w:r>
      <w:r w:rsidRPr="00357CF6">
        <w:rPr>
          <w:b/>
        </w:rPr>
        <w:t xml:space="preserve"> часов, 00 мин., </w:t>
      </w:r>
      <w:r w:rsidR="00D12372">
        <w:rPr>
          <w:rFonts w:eastAsia="Times New Roman"/>
          <w:b/>
          <w:color w:val="000000"/>
          <w:lang w:val="kk-KZ" w:eastAsia="ru-RU"/>
        </w:rPr>
        <w:t>14</w:t>
      </w:r>
      <w:r w:rsidRPr="00357CF6">
        <w:rPr>
          <w:rFonts w:eastAsia="Times New Roman"/>
          <w:b/>
          <w:color w:val="000000"/>
          <w:lang w:val="kk-KZ" w:eastAsia="ru-RU"/>
        </w:rPr>
        <w:t xml:space="preserve"> </w:t>
      </w:r>
      <w:r w:rsidR="000B7BB3">
        <w:rPr>
          <w:rFonts w:eastAsia="Times New Roman"/>
          <w:b/>
          <w:color w:val="000000"/>
          <w:lang w:val="kk-KZ" w:eastAsia="ru-RU"/>
        </w:rPr>
        <w:t>октября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51D2B">
        <w:rPr>
          <w:b/>
        </w:rPr>
        <w:t>до 1</w:t>
      </w:r>
      <w:r w:rsidR="009D2390">
        <w:rPr>
          <w:b/>
        </w:rPr>
        <w:t>0</w:t>
      </w:r>
      <w:r w:rsidR="002E6B43" w:rsidRPr="00357CF6">
        <w:rPr>
          <w:b/>
        </w:rPr>
        <w:t xml:space="preserve"> часов, 00 мин., </w:t>
      </w:r>
      <w:r w:rsidR="00D12372">
        <w:rPr>
          <w:b/>
          <w:lang w:val="kk-KZ"/>
        </w:rPr>
        <w:t>14</w:t>
      </w:r>
      <w:r w:rsidRPr="00357CF6">
        <w:rPr>
          <w:b/>
        </w:rPr>
        <w:t xml:space="preserve"> </w:t>
      </w:r>
      <w:r w:rsidR="000B7BB3">
        <w:rPr>
          <w:b/>
          <w:lang w:val="kk-KZ"/>
        </w:rPr>
        <w:t>октября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0774" w:type="dxa"/>
        <w:tblInd w:w="-601" w:type="dxa"/>
        <w:tblLayout w:type="fixed"/>
        <w:tblLook w:val="04A0"/>
      </w:tblPr>
      <w:tblGrid>
        <w:gridCol w:w="532"/>
        <w:gridCol w:w="1930"/>
        <w:gridCol w:w="3454"/>
        <w:gridCol w:w="660"/>
        <w:gridCol w:w="786"/>
        <w:gridCol w:w="1711"/>
        <w:gridCol w:w="232"/>
        <w:gridCol w:w="1469"/>
      </w:tblGrid>
      <w:tr w:rsidR="00CA0A9A" w:rsidTr="00262A57">
        <w:trPr>
          <w:gridAfter w:val="1"/>
          <w:wAfter w:w="1469" w:type="dxa"/>
          <w:trHeight w:val="300"/>
        </w:trPr>
        <w:tc>
          <w:tcPr>
            <w:tcW w:w="9305" w:type="dxa"/>
            <w:gridSpan w:val="7"/>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262A57" w:rsidTr="00262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532" w:type="dxa"/>
          </w:tcPr>
          <w:p w:rsidR="00262A57" w:rsidRPr="00232B5D" w:rsidRDefault="00262A57" w:rsidP="005F524F">
            <w:pPr>
              <w:pStyle w:val="a3"/>
              <w:tabs>
                <w:tab w:val="right" w:pos="5421"/>
                <w:tab w:val="left" w:pos="6413"/>
              </w:tabs>
              <w:rPr>
                <w:b/>
                <w:sz w:val="20"/>
                <w:szCs w:val="20"/>
                <w:lang w:val="en-US"/>
              </w:rPr>
            </w:pPr>
            <w:r w:rsidRPr="00232B5D">
              <w:rPr>
                <w:b/>
                <w:sz w:val="20"/>
                <w:szCs w:val="20"/>
                <w:lang w:val="en-US"/>
              </w:rPr>
              <w:t>№</w:t>
            </w:r>
          </w:p>
        </w:tc>
        <w:tc>
          <w:tcPr>
            <w:tcW w:w="1930" w:type="dxa"/>
          </w:tcPr>
          <w:p w:rsidR="00262A57" w:rsidRPr="00232B5D" w:rsidRDefault="00262A57" w:rsidP="005F524F">
            <w:pPr>
              <w:pStyle w:val="a3"/>
              <w:rPr>
                <w:b/>
                <w:sz w:val="20"/>
                <w:szCs w:val="20"/>
              </w:rPr>
            </w:pPr>
            <w:r w:rsidRPr="00232B5D">
              <w:rPr>
                <w:b/>
                <w:sz w:val="20"/>
                <w:szCs w:val="20"/>
              </w:rPr>
              <w:t>Наименование</w:t>
            </w:r>
          </w:p>
        </w:tc>
        <w:tc>
          <w:tcPr>
            <w:tcW w:w="3454" w:type="dxa"/>
          </w:tcPr>
          <w:p w:rsidR="00262A57" w:rsidRPr="00232B5D" w:rsidRDefault="00262A57" w:rsidP="005F524F">
            <w:pPr>
              <w:pStyle w:val="a3"/>
              <w:rPr>
                <w:b/>
                <w:sz w:val="20"/>
                <w:szCs w:val="20"/>
              </w:rPr>
            </w:pPr>
          </w:p>
        </w:tc>
        <w:tc>
          <w:tcPr>
            <w:tcW w:w="660" w:type="dxa"/>
          </w:tcPr>
          <w:p w:rsidR="00262A57" w:rsidRPr="00232B5D" w:rsidRDefault="00262A57" w:rsidP="005F524F">
            <w:pPr>
              <w:pStyle w:val="a3"/>
              <w:rPr>
                <w:b/>
                <w:sz w:val="20"/>
                <w:szCs w:val="20"/>
              </w:rPr>
            </w:pPr>
            <w:proofErr w:type="spellStart"/>
            <w:proofErr w:type="gramStart"/>
            <w:r w:rsidRPr="00232B5D">
              <w:rPr>
                <w:b/>
                <w:sz w:val="20"/>
                <w:szCs w:val="20"/>
              </w:rPr>
              <w:t>Ед</w:t>
            </w:r>
            <w:proofErr w:type="spellEnd"/>
            <w:proofErr w:type="gramEnd"/>
            <w:r w:rsidRPr="00232B5D">
              <w:rPr>
                <w:b/>
                <w:sz w:val="20"/>
                <w:szCs w:val="20"/>
              </w:rPr>
              <w:t xml:space="preserve"> </w:t>
            </w:r>
            <w:proofErr w:type="spellStart"/>
            <w:r w:rsidRPr="00232B5D">
              <w:rPr>
                <w:b/>
                <w:sz w:val="20"/>
                <w:szCs w:val="20"/>
              </w:rPr>
              <w:t>изм</w:t>
            </w:r>
            <w:proofErr w:type="spellEnd"/>
            <w:r w:rsidRPr="00232B5D">
              <w:rPr>
                <w:b/>
                <w:sz w:val="20"/>
                <w:szCs w:val="20"/>
              </w:rPr>
              <w:t>.</w:t>
            </w:r>
          </w:p>
        </w:tc>
        <w:tc>
          <w:tcPr>
            <w:tcW w:w="786" w:type="dxa"/>
          </w:tcPr>
          <w:p w:rsidR="00262A57" w:rsidRPr="00232B5D" w:rsidRDefault="00262A57" w:rsidP="005F524F">
            <w:pPr>
              <w:pStyle w:val="a3"/>
              <w:rPr>
                <w:b/>
                <w:sz w:val="20"/>
                <w:szCs w:val="20"/>
              </w:rPr>
            </w:pPr>
            <w:r w:rsidRPr="00232B5D">
              <w:rPr>
                <w:b/>
                <w:sz w:val="20"/>
                <w:szCs w:val="20"/>
              </w:rPr>
              <w:t>Кол-во</w:t>
            </w:r>
          </w:p>
        </w:tc>
        <w:tc>
          <w:tcPr>
            <w:tcW w:w="1711" w:type="dxa"/>
          </w:tcPr>
          <w:p w:rsidR="00262A57" w:rsidRPr="00232B5D" w:rsidRDefault="00262A57" w:rsidP="005F524F">
            <w:pPr>
              <w:pStyle w:val="a3"/>
              <w:rPr>
                <w:b/>
                <w:sz w:val="20"/>
                <w:szCs w:val="20"/>
              </w:rPr>
            </w:pPr>
            <w:r w:rsidRPr="00232B5D">
              <w:rPr>
                <w:b/>
                <w:sz w:val="20"/>
                <w:szCs w:val="20"/>
              </w:rPr>
              <w:t>Цена</w:t>
            </w:r>
          </w:p>
        </w:tc>
        <w:tc>
          <w:tcPr>
            <w:tcW w:w="1701" w:type="dxa"/>
            <w:gridSpan w:val="2"/>
          </w:tcPr>
          <w:p w:rsidR="00262A57" w:rsidRPr="00232B5D" w:rsidRDefault="00262A57" w:rsidP="005F524F">
            <w:pPr>
              <w:pStyle w:val="a3"/>
              <w:widowControl w:val="0"/>
              <w:autoSpaceDE w:val="0"/>
              <w:autoSpaceDN w:val="0"/>
              <w:rPr>
                <w:b/>
                <w:sz w:val="20"/>
                <w:szCs w:val="20"/>
              </w:rPr>
            </w:pPr>
            <w:r w:rsidRPr="00232B5D">
              <w:rPr>
                <w:b/>
                <w:sz w:val="20"/>
                <w:szCs w:val="20"/>
              </w:rPr>
              <w:t>сумма</w:t>
            </w:r>
          </w:p>
        </w:tc>
      </w:tr>
      <w:tr w:rsidR="00262A57" w:rsidRPr="00876249" w:rsidTr="00262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532" w:type="dxa"/>
            <w:vAlign w:val="center"/>
          </w:tcPr>
          <w:p w:rsidR="00262A57" w:rsidRPr="00232B5D" w:rsidRDefault="00262A57" w:rsidP="005F524F">
            <w:pPr>
              <w:pStyle w:val="a3"/>
              <w:jc w:val="center"/>
              <w:rPr>
                <w:b/>
                <w:sz w:val="20"/>
                <w:szCs w:val="20"/>
              </w:rPr>
            </w:pPr>
            <w:r w:rsidRPr="00232B5D">
              <w:rPr>
                <w:b/>
                <w:sz w:val="20"/>
                <w:szCs w:val="20"/>
              </w:rPr>
              <w:t>1</w:t>
            </w:r>
          </w:p>
        </w:tc>
        <w:tc>
          <w:tcPr>
            <w:tcW w:w="1930" w:type="dxa"/>
            <w:vAlign w:val="center"/>
          </w:tcPr>
          <w:p w:rsidR="00262A57" w:rsidRPr="003B1209" w:rsidRDefault="00262A57" w:rsidP="005F524F">
            <w:pPr>
              <w:spacing w:after="0"/>
              <w:rPr>
                <w:b/>
                <w:bCs/>
                <w:color w:val="000000"/>
                <w:lang w:val="kk-KZ"/>
              </w:rPr>
            </w:pPr>
            <w:r w:rsidRPr="00EC4FA2">
              <w:rPr>
                <w:b/>
                <w:bCs/>
                <w:color w:val="000000"/>
                <w:lang w:val="kk-KZ"/>
              </w:rPr>
              <w:t xml:space="preserve">Телемедицинский комплекс </w:t>
            </w:r>
          </w:p>
        </w:tc>
        <w:tc>
          <w:tcPr>
            <w:tcW w:w="3454" w:type="dxa"/>
          </w:tcPr>
          <w:p w:rsidR="00262A57" w:rsidRPr="00B20C24" w:rsidRDefault="00262A57" w:rsidP="005F524F">
            <w:pPr>
              <w:snapToGrid w:val="0"/>
              <w:spacing w:after="0"/>
              <w:rPr>
                <w:rFonts w:eastAsia="Times New Roman"/>
                <w:sz w:val="20"/>
                <w:szCs w:val="20"/>
              </w:rPr>
            </w:pPr>
            <w:r w:rsidRPr="001A45A1">
              <w:rPr>
                <w:sz w:val="20"/>
                <w:szCs w:val="20"/>
              </w:rPr>
              <w:t>Удаленная диагностика и выписывание назначений</w:t>
            </w:r>
            <w:r>
              <w:rPr>
                <w:sz w:val="20"/>
                <w:szCs w:val="20"/>
                <w:lang w:val="kk-KZ"/>
              </w:rPr>
              <w:t>.</w:t>
            </w:r>
            <w:r>
              <w:rPr>
                <w:sz w:val="20"/>
                <w:szCs w:val="20"/>
              </w:rPr>
              <w:t xml:space="preserve"> </w:t>
            </w:r>
            <w:r w:rsidRPr="001A45A1">
              <w:rPr>
                <w:sz w:val="20"/>
                <w:szCs w:val="20"/>
              </w:rPr>
              <w:t xml:space="preserve">Проведение </w:t>
            </w:r>
            <w:proofErr w:type="spellStart"/>
            <w:r w:rsidRPr="001A45A1">
              <w:rPr>
                <w:sz w:val="20"/>
                <w:szCs w:val="20"/>
              </w:rPr>
              <w:t>телеконсультаций</w:t>
            </w:r>
            <w:proofErr w:type="spellEnd"/>
            <w:r>
              <w:rPr>
                <w:sz w:val="20"/>
                <w:szCs w:val="20"/>
                <w:lang w:val="kk-KZ"/>
              </w:rPr>
              <w:t>.</w:t>
            </w:r>
            <w:r w:rsidRPr="001A45A1">
              <w:rPr>
                <w:sz w:val="20"/>
                <w:szCs w:val="20"/>
              </w:rPr>
              <w:t xml:space="preserve"> Удобная идентификация пациентов</w:t>
            </w:r>
            <w:r>
              <w:rPr>
                <w:sz w:val="20"/>
                <w:szCs w:val="20"/>
                <w:lang w:val="kk-KZ"/>
              </w:rPr>
              <w:t>.</w:t>
            </w:r>
            <w:r w:rsidRPr="001A45A1">
              <w:rPr>
                <w:sz w:val="20"/>
                <w:szCs w:val="20"/>
              </w:rPr>
              <w:t xml:space="preserve"> Широкий спектр медицинских возможностей</w:t>
            </w:r>
            <w:r>
              <w:rPr>
                <w:sz w:val="20"/>
                <w:szCs w:val="20"/>
                <w:lang w:val="kk-KZ"/>
              </w:rPr>
              <w:t>.</w:t>
            </w:r>
            <w:r w:rsidRPr="001A45A1">
              <w:rPr>
                <w:sz w:val="20"/>
                <w:szCs w:val="20"/>
              </w:rPr>
              <w:t xml:space="preserve"> Мобильность и компактность</w:t>
            </w:r>
            <w:r>
              <w:rPr>
                <w:sz w:val="20"/>
                <w:szCs w:val="20"/>
                <w:lang w:val="kk-KZ"/>
              </w:rPr>
              <w:t>.</w:t>
            </w:r>
            <w:r w:rsidRPr="001A45A1">
              <w:rPr>
                <w:sz w:val="20"/>
                <w:szCs w:val="20"/>
              </w:rPr>
              <w:t xml:space="preserve"> Прочность и надежность.</w:t>
            </w:r>
            <w:r>
              <w:rPr>
                <w:sz w:val="20"/>
                <w:szCs w:val="20"/>
                <w:lang w:val="kk-KZ"/>
              </w:rPr>
              <w:t xml:space="preserve"> </w:t>
            </w:r>
            <w:r w:rsidRPr="00992B91">
              <w:rPr>
                <w:sz w:val="20"/>
                <w:szCs w:val="20"/>
                <w:lang w:val="kk-KZ"/>
              </w:rPr>
              <w:t xml:space="preserve">Процессор Intel® CoreTM i5-1035G4 Оперативная память 8 Гб LPDDR4x Системный набор микросхем Intel® IrisTM Plus Операционная система Windows® 10 и Windows® 11 Жесткий диск SSD 128 Гб NVMe / 256 Гб NVMe Беспроводная связь Wifi 802.11 b/g/n/ac/ax и Bluetooth 5.0 Время работы от батареи До 3 часов Экран 13-дюймовый дисплей PixelSense™ Flow Разрешение: 2880 X 1920 (267 пикселей на дюйм) Кейс Ударопрочный пластик Колеса для удобства перемещения Водонепроницаемый корпус с клапаном выравнивания давления. </w:t>
            </w:r>
            <w:r w:rsidRPr="00992B91">
              <w:rPr>
                <w:sz w:val="20"/>
                <w:szCs w:val="20"/>
              </w:rPr>
              <w:t>Вес: не более 15 кг Цвет: черный</w:t>
            </w:r>
            <w:r>
              <w:rPr>
                <w:sz w:val="20"/>
                <w:szCs w:val="20"/>
              </w:rPr>
              <w:t xml:space="preserve">. </w:t>
            </w:r>
            <w:r w:rsidRPr="00B146ED">
              <w:t xml:space="preserve">Камера </w:t>
            </w:r>
            <w:r w:rsidRPr="00B146ED">
              <w:rPr>
                <w:lang w:val="kk-KZ"/>
              </w:rPr>
              <w:t xml:space="preserve">- </w:t>
            </w:r>
            <w:r w:rsidRPr="00B146ED">
              <w:t>HD 8 мегапикселей</w:t>
            </w:r>
            <w:r w:rsidRPr="00B146ED">
              <w:rPr>
                <w:lang w:val="kk-KZ"/>
              </w:rPr>
              <w:t xml:space="preserve">; Стетоскоп - </w:t>
            </w:r>
            <w:r w:rsidRPr="00B146ED">
              <w:t>Разъемное соединение с оптимизированной системой</w:t>
            </w:r>
            <w:r w:rsidRPr="00B146ED">
              <w:rPr>
                <w:lang w:val="kk-KZ"/>
              </w:rPr>
              <w:t xml:space="preserve">; Ручная камера - </w:t>
            </w:r>
            <w:r w:rsidRPr="00B146ED">
              <w:t xml:space="preserve">Подключение </w:t>
            </w:r>
            <w:proofErr w:type="spellStart"/>
            <w:r w:rsidRPr="00B146ED">
              <w:t>Wifi</w:t>
            </w:r>
            <w:proofErr w:type="spellEnd"/>
            <w:r w:rsidRPr="00B146ED">
              <w:t xml:space="preserve">, </w:t>
            </w:r>
            <w:proofErr w:type="spellStart"/>
            <w:r w:rsidRPr="00B146ED">
              <w:t>видеодатчик</w:t>
            </w:r>
            <w:proofErr w:type="spellEnd"/>
            <w:r w:rsidRPr="00B146ED">
              <w:t xml:space="preserve"> с улучшенным разрешением 16 мегапикселей. </w:t>
            </w:r>
            <w:proofErr w:type="spellStart"/>
            <w:r w:rsidRPr="00B146ED">
              <w:t>Автофокус</w:t>
            </w:r>
            <w:proofErr w:type="spellEnd"/>
            <w:r w:rsidRPr="00B146ED">
              <w:rPr>
                <w:lang w:val="kk-KZ"/>
              </w:rPr>
              <w:t xml:space="preserve">; Отоскоп - </w:t>
            </w:r>
            <w:r w:rsidRPr="00B146ED">
              <w:t xml:space="preserve">USB-подключение, </w:t>
            </w:r>
            <w:proofErr w:type="spellStart"/>
            <w:r w:rsidRPr="00B146ED">
              <w:t>автофокус</w:t>
            </w:r>
            <w:proofErr w:type="spellEnd"/>
            <w:r w:rsidRPr="00B146ED">
              <w:t>, оптоволоконная камера, система холодного освещения на основе светодиодов</w:t>
            </w:r>
            <w:r w:rsidRPr="00B146ED">
              <w:rPr>
                <w:lang w:val="kk-KZ"/>
              </w:rPr>
              <w:t xml:space="preserve">; Дермаскоп - </w:t>
            </w:r>
            <w:r w:rsidRPr="00B146ED">
              <w:t xml:space="preserve">Подключение </w:t>
            </w:r>
            <w:proofErr w:type="spellStart"/>
            <w:r w:rsidRPr="00B146ED">
              <w:t>wifi</w:t>
            </w:r>
            <w:proofErr w:type="spellEnd"/>
            <w:r w:rsidRPr="00B146ED">
              <w:t xml:space="preserve">, </w:t>
            </w:r>
            <w:proofErr w:type="spellStart"/>
            <w:r w:rsidRPr="00B146ED">
              <w:t>видеодатчик</w:t>
            </w:r>
            <w:proofErr w:type="spellEnd"/>
            <w:r w:rsidRPr="00B146ED">
              <w:t xml:space="preserve"> 16MPx, </w:t>
            </w:r>
            <w:proofErr w:type="spellStart"/>
            <w:r w:rsidRPr="00B146ED">
              <w:t>автофокус</w:t>
            </w:r>
            <w:proofErr w:type="spellEnd"/>
            <w:r w:rsidRPr="00B146ED">
              <w:t xml:space="preserve"> и светодиодная система освещения</w:t>
            </w:r>
            <w:r w:rsidRPr="00B146ED">
              <w:rPr>
                <w:lang w:val="kk-KZ"/>
              </w:rPr>
              <w:t xml:space="preserve">; ЭКГ - </w:t>
            </w:r>
            <w:r w:rsidRPr="00B146ED">
              <w:t xml:space="preserve">Подключение </w:t>
            </w:r>
            <w:proofErr w:type="spellStart"/>
            <w:r w:rsidRPr="00B146ED">
              <w:t>Bluetooth</w:t>
            </w:r>
            <w:proofErr w:type="spellEnd"/>
            <w:r w:rsidRPr="00B146ED">
              <w:t>, одномоментное получение 4- отведений ЭКГ за 15 секунд</w:t>
            </w:r>
            <w:r w:rsidRPr="00B146ED">
              <w:rPr>
                <w:lang w:val="kk-KZ"/>
              </w:rPr>
              <w:t xml:space="preserve">; Экограф - </w:t>
            </w:r>
            <w:r w:rsidRPr="00B146ED">
              <w:t>Предназначен для брюшной полости, грудной клетки, сердца и др. Диапазон частот: 2-15МГц</w:t>
            </w:r>
            <w:r w:rsidRPr="00B146ED">
              <w:rPr>
                <w:lang w:val="kk-KZ"/>
              </w:rPr>
              <w:t>.</w:t>
            </w:r>
            <w:r>
              <w:rPr>
                <w:lang w:val="kk-KZ"/>
              </w:rPr>
              <w:t xml:space="preserve"> </w:t>
            </w:r>
            <w:r w:rsidRPr="00B20C24">
              <w:rPr>
                <w:rFonts w:eastAsia="Times New Roman"/>
                <w:sz w:val="20"/>
                <w:szCs w:val="20"/>
              </w:rPr>
              <w:t>Гарантийное сервисное обслуживание медицинской техники не менее 37 месяцев.</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xml:space="preserve">Плановое техническое обслуживание должно проводиться не реже чем 1 </w:t>
            </w:r>
            <w:r w:rsidRPr="00B20C24">
              <w:rPr>
                <w:rFonts w:eastAsia="Times New Roman"/>
                <w:sz w:val="20"/>
                <w:szCs w:val="20"/>
              </w:rPr>
              <w:lastRenderedPageBreak/>
              <w:t>раз в квартал.</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замену отработавших ресурс составных частей;</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замене или восстановлении отдельных частей медицинской техники;</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настройку и регулировку медицинской техники; специфические для данной медицинской техники работы и т.п.;</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чистку, смазку и при необходимости переборку основных механизмов и узлов;</w:t>
            </w:r>
          </w:p>
          <w:p w:rsidR="00262A57" w:rsidRPr="00B20C24" w:rsidRDefault="00262A57" w:rsidP="005F524F">
            <w:pPr>
              <w:snapToGrid w:val="0"/>
              <w:spacing w:after="0"/>
              <w:rPr>
                <w:rFonts w:eastAsia="Times New Roman"/>
                <w:sz w:val="20"/>
                <w:szCs w:val="20"/>
              </w:rPr>
            </w:pPr>
            <w:r w:rsidRPr="00B20C24">
              <w:rPr>
                <w:rFonts w:eastAsia="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262A57" w:rsidRPr="003B1209" w:rsidRDefault="00262A57" w:rsidP="005F524F">
            <w:pPr>
              <w:spacing w:after="0"/>
              <w:jc w:val="center"/>
              <w:rPr>
                <w:bCs/>
                <w:color w:val="000000"/>
              </w:rPr>
            </w:pPr>
            <w:r w:rsidRPr="00B20C24">
              <w:rPr>
                <w:rFonts w:eastAsia="Times New Roman"/>
                <w:sz w:val="20"/>
                <w:szCs w:val="20"/>
              </w:rPr>
              <w:t>- иные указанные в эксплуатационной документации операции, специфические для конкретного типа медицинской техники.</w:t>
            </w:r>
            <w:r>
              <w:rPr>
                <w:lang w:val="kk-KZ"/>
              </w:rPr>
              <w:t xml:space="preserve"> </w:t>
            </w:r>
          </w:p>
        </w:tc>
        <w:tc>
          <w:tcPr>
            <w:tcW w:w="660" w:type="dxa"/>
            <w:vAlign w:val="center"/>
          </w:tcPr>
          <w:p w:rsidR="00262A57" w:rsidRPr="006C4B8D" w:rsidRDefault="00262A57" w:rsidP="005F524F">
            <w:pPr>
              <w:spacing w:after="0"/>
              <w:jc w:val="center"/>
              <w:rPr>
                <w:bCs/>
                <w:color w:val="000000"/>
                <w:lang w:val="kk-KZ"/>
              </w:rPr>
            </w:pPr>
            <w:r>
              <w:rPr>
                <w:bCs/>
                <w:color w:val="000000"/>
                <w:lang w:val="kk-KZ"/>
              </w:rPr>
              <w:lastRenderedPageBreak/>
              <w:t>шт</w:t>
            </w:r>
          </w:p>
        </w:tc>
        <w:tc>
          <w:tcPr>
            <w:tcW w:w="786" w:type="dxa"/>
            <w:vAlign w:val="center"/>
          </w:tcPr>
          <w:p w:rsidR="00262A57" w:rsidRPr="006C4B8D" w:rsidRDefault="00262A57" w:rsidP="005F524F">
            <w:pPr>
              <w:spacing w:after="0"/>
              <w:jc w:val="center"/>
              <w:rPr>
                <w:bCs/>
                <w:color w:val="000000"/>
                <w:lang w:val="kk-KZ"/>
              </w:rPr>
            </w:pPr>
            <w:r w:rsidRPr="006C4B8D">
              <w:rPr>
                <w:bCs/>
                <w:color w:val="000000"/>
                <w:lang w:val="kk-KZ"/>
              </w:rPr>
              <w:t>1</w:t>
            </w:r>
          </w:p>
        </w:tc>
        <w:tc>
          <w:tcPr>
            <w:tcW w:w="1711" w:type="dxa"/>
            <w:vAlign w:val="center"/>
          </w:tcPr>
          <w:p w:rsidR="00262A57" w:rsidRPr="006C4B8D" w:rsidRDefault="00262A57" w:rsidP="005F524F">
            <w:pPr>
              <w:jc w:val="center"/>
              <w:rPr>
                <w:color w:val="000000"/>
                <w:lang w:val="kk-KZ"/>
              </w:rPr>
            </w:pPr>
            <w:r w:rsidRPr="006C4B8D">
              <w:rPr>
                <w:color w:val="000000"/>
                <w:lang w:val="kk-KZ"/>
              </w:rPr>
              <w:t>15 240 170,00</w:t>
            </w:r>
          </w:p>
        </w:tc>
        <w:tc>
          <w:tcPr>
            <w:tcW w:w="1701" w:type="dxa"/>
            <w:gridSpan w:val="2"/>
            <w:vAlign w:val="center"/>
          </w:tcPr>
          <w:p w:rsidR="00262A57" w:rsidRPr="006C4B8D" w:rsidRDefault="00262A57" w:rsidP="005F524F">
            <w:pPr>
              <w:jc w:val="center"/>
              <w:rPr>
                <w:color w:val="000000"/>
                <w:lang w:val="kk-KZ"/>
              </w:rPr>
            </w:pPr>
            <w:r w:rsidRPr="006C4B8D">
              <w:rPr>
                <w:color w:val="000000"/>
                <w:lang w:val="kk-KZ"/>
              </w:rPr>
              <w:t>15 240 170,00</w:t>
            </w:r>
          </w:p>
        </w:tc>
      </w:tr>
      <w:tr w:rsidR="00262A57" w:rsidRPr="00F34C80" w:rsidTr="00262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32" w:type="dxa"/>
          </w:tcPr>
          <w:p w:rsidR="00262A57" w:rsidRPr="00F34C80" w:rsidRDefault="00262A57" w:rsidP="005F524F">
            <w:pPr>
              <w:pStyle w:val="a3"/>
              <w:widowControl w:val="0"/>
              <w:autoSpaceDE w:val="0"/>
              <w:autoSpaceDN w:val="0"/>
              <w:rPr>
                <w:sz w:val="20"/>
                <w:szCs w:val="20"/>
                <w:lang w:val="kk-KZ"/>
              </w:rPr>
            </w:pPr>
          </w:p>
        </w:tc>
        <w:tc>
          <w:tcPr>
            <w:tcW w:w="1930" w:type="dxa"/>
          </w:tcPr>
          <w:p w:rsidR="00262A57" w:rsidRPr="006C4B8D" w:rsidRDefault="00262A57" w:rsidP="005F524F">
            <w:pPr>
              <w:pStyle w:val="a3"/>
              <w:widowControl w:val="0"/>
              <w:autoSpaceDE w:val="0"/>
              <w:autoSpaceDN w:val="0"/>
              <w:jc w:val="center"/>
              <w:rPr>
                <w:b/>
              </w:rPr>
            </w:pPr>
          </w:p>
        </w:tc>
        <w:tc>
          <w:tcPr>
            <w:tcW w:w="6611" w:type="dxa"/>
            <w:gridSpan w:val="4"/>
            <w:vAlign w:val="center"/>
          </w:tcPr>
          <w:p w:rsidR="00262A57" w:rsidRPr="006C4B8D" w:rsidRDefault="00262A57" w:rsidP="005F524F">
            <w:pPr>
              <w:pStyle w:val="a3"/>
              <w:widowControl w:val="0"/>
              <w:autoSpaceDE w:val="0"/>
              <w:autoSpaceDN w:val="0"/>
              <w:jc w:val="center"/>
              <w:rPr>
                <w:b/>
              </w:rPr>
            </w:pPr>
            <w:r w:rsidRPr="006C4B8D">
              <w:rPr>
                <w:b/>
              </w:rPr>
              <w:t>Итого</w:t>
            </w:r>
          </w:p>
        </w:tc>
        <w:tc>
          <w:tcPr>
            <w:tcW w:w="1701" w:type="dxa"/>
            <w:gridSpan w:val="2"/>
            <w:vAlign w:val="center"/>
          </w:tcPr>
          <w:p w:rsidR="00262A57" w:rsidRPr="006C4B8D" w:rsidRDefault="00262A57" w:rsidP="005F524F">
            <w:pPr>
              <w:pStyle w:val="a3"/>
              <w:widowControl w:val="0"/>
              <w:autoSpaceDE w:val="0"/>
              <w:autoSpaceDN w:val="0"/>
              <w:jc w:val="center"/>
              <w:rPr>
                <w:b/>
                <w:lang w:val="kk-KZ"/>
              </w:rPr>
            </w:pPr>
            <w:r>
              <w:rPr>
                <w:b/>
                <w:lang w:val="kk-KZ"/>
              </w:rPr>
              <w:t>15 240 170,00</w:t>
            </w:r>
          </w:p>
        </w:tc>
      </w:tr>
      <w:tr w:rsidR="002E6B43" w:rsidRPr="00350145" w:rsidTr="00262A57">
        <w:trPr>
          <w:gridAfter w:val="1"/>
          <w:wAfter w:w="1469" w:type="dxa"/>
          <w:trHeight w:val="300"/>
        </w:trPr>
        <w:tc>
          <w:tcPr>
            <w:tcW w:w="9305" w:type="dxa"/>
            <w:gridSpan w:val="7"/>
            <w:tcBorders>
              <w:top w:val="nil"/>
              <w:left w:val="nil"/>
              <w:bottom w:val="nil"/>
              <w:right w:val="nil"/>
            </w:tcBorders>
            <w:shd w:val="clear" w:color="auto" w:fill="auto"/>
            <w:vAlign w:val="bottom"/>
          </w:tcPr>
          <w:p w:rsidR="002E6B43" w:rsidRPr="00350145" w:rsidRDefault="002E6B43" w:rsidP="00357CF6">
            <w:pPr>
              <w:pStyle w:val="a3"/>
              <w:rPr>
                <w:rFonts w:eastAsia="Times New Roman"/>
                <w:b/>
                <w:bCs/>
                <w:color w:val="000000"/>
                <w:sz w:val="23"/>
                <w:szCs w:val="23"/>
                <w:lang w:eastAsia="ru-RU"/>
              </w:rPr>
            </w:pPr>
          </w:p>
        </w:tc>
      </w:tr>
      <w:tr w:rsidR="00597598" w:rsidRPr="00350145" w:rsidTr="00262A57">
        <w:trPr>
          <w:gridAfter w:val="1"/>
          <w:wAfter w:w="1469" w:type="dxa"/>
          <w:trHeight w:val="300"/>
        </w:trPr>
        <w:tc>
          <w:tcPr>
            <w:tcW w:w="9305" w:type="dxa"/>
            <w:gridSpan w:val="7"/>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BAD" w:rsidRDefault="00187BAD">
      <w:r>
        <w:separator/>
      </w:r>
    </w:p>
  </w:endnote>
  <w:endnote w:type="continuationSeparator" w:id="0">
    <w:p w:rsidR="00187BAD" w:rsidRDefault="00187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BAD" w:rsidRDefault="00187BAD">
      <w:pPr>
        <w:spacing w:after="0"/>
      </w:pPr>
      <w:r>
        <w:separator/>
      </w:r>
    </w:p>
  </w:footnote>
  <w:footnote w:type="continuationSeparator" w:id="0">
    <w:p w:rsidR="00187BAD" w:rsidRDefault="00187BA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63801"/>
    <w:rsid w:val="000B7BB3"/>
    <w:rsid w:val="000E31B4"/>
    <w:rsid w:val="0015289F"/>
    <w:rsid w:val="0015531B"/>
    <w:rsid w:val="00187BAD"/>
    <w:rsid w:val="001C1265"/>
    <w:rsid w:val="001F1025"/>
    <w:rsid w:val="00223C9F"/>
    <w:rsid w:val="00255BF9"/>
    <w:rsid w:val="00257827"/>
    <w:rsid w:val="00262A57"/>
    <w:rsid w:val="002E1838"/>
    <w:rsid w:val="002E6B43"/>
    <w:rsid w:val="002F1895"/>
    <w:rsid w:val="00357CF6"/>
    <w:rsid w:val="00383E89"/>
    <w:rsid w:val="003C022B"/>
    <w:rsid w:val="003F147A"/>
    <w:rsid w:val="00401314"/>
    <w:rsid w:val="00401C6E"/>
    <w:rsid w:val="00430CD1"/>
    <w:rsid w:val="0043122D"/>
    <w:rsid w:val="00453961"/>
    <w:rsid w:val="004A674C"/>
    <w:rsid w:val="00526186"/>
    <w:rsid w:val="00542DA9"/>
    <w:rsid w:val="005869CB"/>
    <w:rsid w:val="00597598"/>
    <w:rsid w:val="00630A4C"/>
    <w:rsid w:val="00632EEF"/>
    <w:rsid w:val="00634883"/>
    <w:rsid w:val="006722D0"/>
    <w:rsid w:val="0067361B"/>
    <w:rsid w:val="007502DA"/>
    <w:rsid w:val="00777556"/>
    <w:rsid w:val="00792E47"/>
    <w:rsid w:val="007A636F"/>
    <w:rsid w:val="00845FE7"/>
    <w:rsid w:val="0087353B"/>
    <w:rsid w:val="008C138A"/>
    <w:rsid w:val="00900510"/>
    <w:rsid w:val="0091580E"/>
    <w:rsid w:val="009837BA"/>
    <w:rsid w:val="00987294"/>
    <w:rsid w:val="009D2308"/>
    <w:rsid w:val="009D2390"/>
    <w:rsid w:val="009E1A0C"/>
    <w:rsid w:val="009E4270"/>
    <w:rsid w:val="00A16642"/>
    <w:rsid w:val="00A2221F"/>
    <w:rsid w:val="00A463A5"/>
    <w:rsid w:val="00AE14D0"/>
    <w:rsid w:val="00B40976"/>
    <w:rsid w:val="00B51D2B"/>
    <w:rsid w:val="00B5791D"/>
    <w:rsid w:val="00B66A71"/>
    <w:rsid w:val="00B70957"/>
    <w:rsid w:val="00BC1D44"/>
    <w:rsid w:val="00BF568C"/>
    <w:rsid w:val="00C94265"/>
    <w:rsid w:val="00CA0A9A"/>
    <w:rsid w:val="00CA676F"/>
    <w:rsid w:val="00D12372"/>
    <w:rsid w:val="00D558C5"/>
    <w:rsid w:val="00DB41DA"/>
    <w:rsid w:val="00E0427C"/>
    <w:rsid w:val="00E4589F"/>
    <w:rsid w:val="00F52F1C"/>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15</Pages>
  <Words>6714</Words>
  <Characters>38273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25</cp:revision>
  <dcterms:created xsi:type="dcterms:W3CDTF">2023-09-21T10:20:00Z</dcterms:created>
  <dcterms:modified xsi:type="dcterms:W3CDTF">2024-09-20T11:13:00Z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