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0079755D">
        <w:rPr>
          <w:rFonts w:eastAsia="Times New Roman"/>
          <w:b/>
          <w:iCs/>
          <w:lang w:val="kk-KZ" w:eastAsia="ru-RU"/>
        </w:rPr>
        <w:t>5</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w:t>
      </w:r>
      <w:proofErr w:type="gramEnd"/>
      <w:r>
        <w:rPr>
          <w:rFonts w:eastAsia="Times New Roman"/>
          <w:lang w:eastAsia="ru-RU"/>
        </w:rPr>
        <w:t xml:space="preserve"> </w:t>
      </w:r>
      <w:proofErr w:type="gramStart"/>
      <w:r>
        <w:rPr>
          <w:rFonts w:eastAsia="Times New Roman"/>
          <w:lang w:eastAsia="ru-RU"/>
        </w:rPr>
        <w:t xml:space="preserve">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lastRenderedPageBreak/>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Pr>
          <w:rStyle w:val="s9"/>
          <w:b/>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w:t>
      </w:r>
      <w:r w:rsidR="00B63941">
        <w:t>ный счет Поставщика в течени</w:t>
      </w:r>
      <w:proofErr w:type="gramStart"/>
      <w:r w:rsidR="00B63941">
        <w:t>и</w:t>
      </w:r>
      <w:proofErr w:type="gramEnd"/>
      <w:r w:rsidR="00B63941">
        <w:t xml:space="preserve"> </w:t>
      </w:r>
      <w:r w:rsidR="00B63941">
        <w:rPr>
          <w:lang w:val="kk-KZ"/>
        </w:rPr>
        <w:t>90</w:t>
      </w:r>
      <w:r>
        <w:t xml:space="preserve">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lastRenderedPageBreak/>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lastRenderedPageBreak/>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006330FE">
        <w:rPr>
          <w:b/>
          <w:lang w:val="kk-KZ"/>
        </w:rPr>
        <w:t xml:space="preserve"> лекарственных средств и</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2723AB">
        <w:rPr>
          <w:rFonts w:eastAsia="Times New Roman"/>
          <w:b/>
          <w:iCs/>
          <w:lang w:val="kk-KZ" w:eastAsia="ru-RU"/>
        </w:rPr>
        <w:t>ета на 2025</w:t>
      </w:r>
      <w:r w:rsidRPr="00357CF6">
        <w:rPr>
          <w:rFonts w:eastAsia="Times New Roman"/>
          <w:b/>
          <w:iCs/>
          <w:lang w:val="kk-KZ" w:eastAsia="ru-RU"/>
        </w:rPr>
        <w:t xml:space="preserve"> год</w:t>
      </w:r>
      <w:r w:rsidR="00430CD1" w:rsidRPr="00357CF6">
        <w:rPr>
          <w:b/>
          <w:lang w:val="kk-KZ"/>
        </w:rPr>
        <w:t xml:space="preserve">» и «Не </w:t>
      </w:r>
      <w:r w:rsidR="001834AA">
        <w:rPr>
          <w:b/>
          <w:lang w:val="kk-KZ"/>
        </w:rPr>
        <w:t>вскрывать до «27</w:t>
      </w:r>
      <w:r w:rsidRPr="00357CF6">
        <w:rPr>
          <w:b/>
          <w:lang w:val="kk-KZ"/>
        </w:rPr>
        <w:t xml:space="preserve">» </w:t>
      </w:r>
      <w:r w:rsidR="002723AB">
        <w:rPr>
          <w:b/>
          <w:lang w:val="kk-KZ"/>
        </w:rPr>
        <w:t>января 2025</w:t>
      </w:r>
      <w:r w:rsidRPr="00357CF6">
        <w:rPr>
          <w:b/>
          <w:lang w:val="kk-KZ"/>
        </w:rPr>
        <w:t xml:space="preserve"> года 1</w:t>
      </w:r>
      <w:r w:rsidR="009D2390">
        <w:rPr>
          <w:b/>
          <w:lang w:val="kk-KZ"/>
        </w:rPr>
        <w:t>2</w:t>
      </w:r>
      <w:r w:rsidRPr="00357CF6">
        <w:rPr>
          <w:b/>
          <w:lang w:val="kk-KZ"/>
        </w:rPr>
        <w:t>:00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009D2390">
        <w:rPr>
          <w:b/>
        </w:rPr>
        <w:t xml:space="preserve"> </w:t>
      </w:r>
      <w:r w:rsidRPr="00357CF6">
        <w:rPr>
          <w:b/>
          <w:lang w:val="kk-KZ"/>
        </w:rPr>
        <w:t xml:space="preserve">кабинет </w:t>
      </w:r>
      <w:r w:rsidR="00430CD1" w:rsidRPr="00357CF6">
        <w:rPr>
          <w:b/>
          <w:lang w:val="kk-KZ"/>
        </w:rPr>
        <w:t>государственных закупкок</w:t>
      </w:r>
      <w:r w:rsidR="00357CF6" w:rsidRPr="00357CF6">
        <w:rPr>
          <w:b/>
        </w:rPr>
        <w:t xml:space="preserve"> в срок до 1</w:t>
      </w:r>
      <w:r w:rsidR="006330FE">
        <w:rPr>
          <w:b/>
        </w:rPr>
        <w:t>0</w:t>
      </w:r>
      <w:r w:rsidR="009D2390">
        <w:rPr>
          <w:b/>
        </w:rPr>
        <w:t xml:space="preserve"> часов, 00 мин., </w:t>
      </w:r>
      <w:r w:rsidR="001834AA">
        <w:rPr>
          <w:b/>
          <w:lang w:val="kk-KZ"/>
        </w:rPr>
        <w:t>27</w:t>
      </w:r>
      <w:r w:rsidRPr="00357CF6">
        <w:rPr>
          <w:b/>
        </w:rPr>
        <w:t xml:space="preserve"> </w:t>
      </w:r>
      <w:r w:rsidR="002723AB">
        <w:rPr>
          <w:b/>
          <w:lang w:val="kk-KZ"/>
        </w:rPr>
        <w:t>января</w:t>
      </w:r>
      <w:r w:rsidRPr="00357CF6">
        <w:rPr>
          <w:b/>
        </w:rPr>
        <w:t xml:space="preserve"> </w:t>
      </w:r>
      <w:r w:rsidRPr="00357CF6">
        <w:rPr>
          <w:rFonts w:eastAsia="Times New Roman"/>
          <w:b/>
          <w:color w:val="000000"/>
          <w:lang w:val="kk-KZ" w:eastAsia="ru-RU"/>
        </w:rPr>
        <w:t>202</w:t>
      </w:r>
      <w:r w:rsidR="002723AB">
        <w:rPr>
          <w:rFonts w:eastAsia="Times New Roman"/>
          <w:b/>
          <w:color w:val="000000"/>
          <w:lang w:val="kk-KZ" w:eastAsia="ru-RU"/>
        </w:rPr>
        <w:t>5</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lastRenderedPageBreak/>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в 1</w:t>
      </w:r>
      <w:r w:rsidR="009D2390">
        <w:rPr>
          <w:b/>
        </w:rPr>
        <w:t>2</w:t>
      </w:r>
      <w:r w:rsidRPr="00357CF6">
        <w:rPr>
          <w:b/>
        </w:rPr>
        <w:t xml:space="preserve"> часов, 00 мин., </w:t>
      </w:r>
      <w:r w:rsidR="001834AA">
        <w:rPr>
          <w:rFonts w:eastAsia="Times New Roman"/>
          <w:b/>
          <w:color w:val="000000"/>
          <w:lang w:val="kk-KZ" w:eastAsia="ru-RU"/>
        </w:rPr>
        <w:t>27</w:t>
      </w:r>
      <w:r w:rsidRPr="00357CF6">
        <w:rPr>
          <w:rFonts w:eastAsia="Times New Roman"/>
          <w:b/>
          <w:color w:val="000000"/>
          <w:lang w:val="kk-KZ" w:eastAsia="ru-RU"/>
        </w:rPr>
        <w:t xml:space="preserve"> </w:t>
      </w:r>
      <w:r w:rsidR="002723AB">
        <w:rPr>
          <w:rFonts w:eastAsia="Times New Roman"/>
          <w:b/>
          <w:color w:val="000000"/>
          <w:lang w:val="kk-KZ" w:eastAsia="ru-RU"/>
        </w:rPr>
        <w:t>января 2025</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B51D2B">
        <w:rPr>
          <w:b/>
        </w:rPr>
        <w:t>до 1</w:t>
      </w:r>
      <w:r w:rsidR="009D2390">
        <w:rPr>
          <w:b/>
        </w:rPr>
        <w:t>0</w:t>
      </w:r>
      <w:r w:rsidR="002E6B43" w:rsidRPr="00357CF6">
        <w:rPr>
          <w:b/>
        </w:rPr>
        <w:t xml:space="preserve"> часов, 00 мин., </w:t>
      </w:r>
      <w:r w:rsidR="001834AA">
        <w:rPr>
          <w:b/>
          <w:lang w:val="kk-KZ"/>
        </w:rPr>
        <w:t>27</w:t>
      </w:r>
      <w:r w:rsidRPr="00357CF6">
        <w:rPr>
          <w:b/>
        </w:rPr>
        <w:t xml:space="preserve"> </w:t>
      </w:r>
      <w:r w:rsidR="002723AB">
        <w:rPr>
          <w:b/>
          <w:lang w:val="kk-KZ"/>
        </w:rPr>
        <w:t>января</w:t>
      </w:r>
      <w:r w:rsidRPr="00357CF6">
        <w:rPr>
          <w:b/>
        </w:rPr>
        <w:t xml:space="preserve"> </w:t>
      </w:r>
      <w:r w:rsidR="002723AB">
        <w:rPr>
          <w:rFonts w:eastAsia="Times New Roman"/>
          <w:b/>
          <w:color w:val="000000"/>
          <w:lang w:val="kk-KZ" w:eastAsia="ru-RU"/>
        </w:rPr>
        <w:t>2025</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lastRenderedPageBreak/>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lastRenderedPageBreak/>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w:t>
      </w:r>
      <w:r>
        <w:rPr>
          <w:color w:val="000000"/>
        </w:rPr>
        <w:lastRenderedPageBreak/>
        <w:t>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357CF6" w:rsidRDefault="00357CF6"/>
    <w:p w:rsidR="002E6B43" w:rsidRDefault="002E6B43"/>
    <w:p w:rsidR="002E6B43" w:rsidRDefault="002E6B43"/>
    <w:p w:rsidR="002E6B43" w:rsidRDefault="002E6B43"/>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CA0A9A" w:rsidRDefault="00CA0A9A"/>
    <w:p w:rsidR="00CA0A9A" w:rsidRDefault="0043122D">
      <w:pPr>
        <w:jc w:val="right"/>
      </w:pPr>
      <w:r>
        <w:t>Приложение №1</w:t>
      </w:r>
    </w:p>
    <w:p w:rsidR="00CA0A9A" w:rsidRDefault="0015531B">
      <w:pPr>
        <w:jc w:val="right"/>
      </w:pPr>
      <w:r>
        <w:t>к</w:t>
      </w:r>
      <w:r w:rsidR="0043122D">
        <w:t xml:space="preserve"> </w:t>
      </w:r>
      <w:proofErr w:type="gramStart"/>
      <w:r w:rsidR="0043122D">
        <w:t>тендерной</w:t>
      </w:r>
      <w:proofErr w:type="gramEnd"/>
      <w:r w:rsidR="0043122D">
        <w:t xml:space="preserve"> документаций</w:t>
      </w:r>
    </w:p>
    <w:p w:rsidR="006330FE" w:rsidRDefault="006330FE">
      <w:pPr>
        <w:jc w:val="right"/>
      </w:pPr>
    </w:p>
    <w:p w:rsidR="006330FE" w:rsidRDefault="006330FE">
      <w:pPr>
        <w:jc w:val="right"/>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2"/>
        <w:gridCol w:w="3402"/>
        <w:gridCol w:w="992"/>
        <w:gridCol w:w="1134"/>
        <w:gridCol w:w="1134"/>
        <w:gridCol w:w="1559"/>
      </w:tblGrid>
      <w:tr w:rsidR="00F94519" w:rsidTr="00F94519">
        <w:tc>
          <w:tcPr>
            <w:tcW w:w="567" w:type="dxa"/>
          </w:tcPr>
          <w:p w:rsidR="00F94519" w:rsidRPr="007842B3" w:rsidRDefault="00F94519" w:rsidP="009C1A85">
            <w:pPr>
              <w:pStyle w:val="a3"/>
              <w:rPr>
                <w:b/>
                <w:szCs w:val="21"/>
                <w:lang w:val="en-US"/>
              </w:rPr>
            </w:pPr>
            <w:r w:rsidRPr="007842B3">
              <w:rPr>
                <w:b/>
                <w:szCs w:val="21"/>
                <w:lang w:val="en-US"/>
              </w:rPr>
              <w:t>№</w:t>
            </w:r>
          </w:p>
        </w:tc>
        <w:tc>
          <w:tcPr>
            <w:tcW w:w="1702" w:type="dxa"/>
          </w:tcPr>
          <w:p w:rsidR="00F94519" w:rsidRPr="007842B3" w:rsidRDefault="00F94519" w:rsidP="009C1A85">
            <w:pPr>
              <w:pStyle w:val="a3"/>
              <w:rPr>
                <w:b/>
                <w:szCs w:val="21"/>
              </w:rPr>
            </w:pPr>
            <w:r w:rsidRPr="007842B3">
              <w:rPr>
                <w:b/>
                <w:szCs w:val="21"/>
              </w:rPr>
              <w:t>Наименование</w:t>
            </w:r>
          </w:p>
        </w:tc>
        <w:tc>
          <w:tcPr>
            <w:tcW w:w="3402" w:type="dxa"/>
          </w:tcPr>
          <w:p w:rsidR="00F94519" w:rsidRPr="007842B3" w:rsidRDefault="00F94519" w:rsidP="009C1A85">
            <w:pPr>
              <w:pStyle w:val="a3"/>
              <w:rPr>
                <w:b/>
                <w:szCs w:val="21"/>
                <w:lang w:val="kk-KZ"/>
              </w:rPr>
            </w:pPr>
            <w:r w:rsidRPr="007842B3">
              <w:rPr>
                <w:b/>
                <w:szCs w:val="21"/>
                <w:lang w:val="kk-KZ"/>
              </w:rPr>
              <w:t>Тех описание</w:t>
            </w:r>
          </w:p>
        </w:tc>
        <w:tc>
          <w:tcPr>
            <w:tcW w:w="992" w:type="dxa"/>
          </w:tcPr>
          <w:p w:rsidR="00F94519" w:rsidRPr="007842B3" w:rsidRDefault="00F94519" w:rsidP="009C1A85">
            <w:pPr>
              <w:pStyle w:val="a3"/>
              <w:rPr>
                <w:b/>
                <w:szCs w:val="21"/>
              </w:rPr>
            </w:pPr>
            <w:proofErr w:type="spellStart"/>
            <w:proofErr w:type="gramStart"/>
            <w:r w:rsidRPr="007842B3">
              <w:rPr>
                <w:b/>
                <w:szCs w:val="21"/>
              </w:rPr>
              <w:t>Ед</w:t>
            </w:r>
            <w:proofErr w:type="spellEnd"/>
            <w:proofErr w:type="gramEnd"/>
            <w:r w:rsidRPr="007842B3">
              <w:rPr>
                <w:b/>
                <w:szCs w:val="21"/>
              </w:rPr>
              <w:t xml:space="preserve"> </w:t>
            </w:r>
            <w:proofErr w:type="spellStart"/>
            <w:r w:rsidRPr="007842B3">
              <w:rPr>
                <w:b/>
                <w:szCs w:val="21"/>
              </w:rPr>
              <w:t>изм</w:t>
            </w:r>
            <w:proofErr w:type="spellEnd"/>
            <w:r w:rsidRPr="007842B3">
              <w:rPr>
                <w:b/>
                <w:szCs w:val="21"/>
              </w:rPr>
              <w:t>.</w:t>
            </w:r>
          </w:p>
        </w:tc>
        <w:tc>
          <w:tcPr>
            <w:tcW w:w="1134" w:type="dxa"/>
          </w:tcPr>
          <w:p w:rsidR="00F94519" w:rsidRPr="007842B3" w:rsidRDefault="00F94519" w:rsidP="009C1A85">
            <w:pPr>
              <w:pStyle w:val="a3"/>
              <w:rPr>
                <w:b/>
                <w:szCs w:val="21"/>
              </w:rPr>
            </w:pPr>
            <w:r w:rsidRPr="007842B3">
              <w:rPr>
                <w:b/>
                <w:szCs w:val="21"/>
              </w:rPr>
              <w:t>Кол-во</w:t>
            </w:r>
          </w:p>
        </w:tc>
        <w:tc>
          <w:tcPr>
            <w:tcW w:w="1134" w:type="dxa"/>
          </w:tcPr>
          <w:p w:rsidR="00F94519" w:rsidRPr="007842B3" w:rsidRDefault="00F94519" w:rsidP="009C1A85">
            <w:pPr>
              <w:pStyle w:val="a3"/>
              <w:rPr>
                <w:b/>
                <w:szCs w:val="21"/>
              </w:rPr>
            </w:pPr>
            <w:r w:rsidRPr="007842B3">
              <w:rPr>
                <w:b/>
                <w:szCs w:val="21"/>
              </w:rPr>
              <w:t>Цена</w:t>
            </w:r>
          </w:p>
        </w:tc>
        <w:tc>
          <w:tcPr>
            <w:tcW w:w="1559" w:type="dxa"/>
          </w:tcPr>
          <w:p w:rsidR="00F94519" w:rsidRPr="007842B3" w:rsidRDefault="00F94519" w:rsidP="009C1A85">
            <w:pPr>
              <w:pStyle w:val="a3"/>
              <w:widowControl w:val="0"/>
              <w:autoSpaceDE w:val="0"/>
              <w:autoSpaceDN w:val="0"/>
              <w:rPr>
                <w:b/>
                <w:szCs w:val="21"/>
              </w:rPr>
            </w:pPr>
            <w:r w:rsidRPr="007842B3">
              <w:rPr>
                <w:b/>
                <w:szCs w:val="21"/>
              </w:rPr>
              <w:t>сумма</w:t>
            </w:r>
          </w:p>
        </w:tc>
      </w:tr>
      <w:tr w:rsidR="00F94519" w:rsidRPr="00876249" w:rsidTr="00F94519">
        <w:trPr>
          <w:trHeight w:val="966"/>
        </w:trPr>
        <w:tc>
          <w:tcPr>
            <w:tcW w:w="567" w:type="dxa"/>
          </w:tcPr>
          <w:p w:rsidR="00F94519" w:rsidRDefault="00F94519" w:rsidP="009C1A85">
            <w:pPr>
              <w:pStyle w:val="a3"/>
              <w:rPr>
                <w:sz w:val="20"/>
                <w:szCs w:val="20"/>
                <w:lang w:val="kk-KZ"/>
              </w:rPr>
            </w:pPr>
          </w:p>
          <w:p w:rsidR="00F94519" w:rsidRDefault="00F94519" w:rsidP="009C1A85">
            <w:pPr>
              <w:pStyle w:val="a3"/>
              <w:rPr>
                <w:sz w:val="20"/>
                <w:szCs w:val="20"/>
                <w:lang w:val="kk-KZ"/>
              </w:rPr>
            </w:pPr>
          </w:p>
          <w:p w:rsidR="00F94519" w:rsidRPr="00F34C80" w:rsidRDefault="00F94519" w:rsidP="009C1A85">
            <w:pPr>
              <w:pStyle w:val="a3"/>
              <w:jc w:val="center"/>
              <w:rPr>
                <w:sz w:val="20"/>
                <w:szCs w:val="20"/>
              </w:rPr>
            </w:pPr>
            <w:r>
              <w:rPr>
                <w:sz w:val="20"/>
                <w:szCs w:val="20"/>
              </w:rPr>
              <w:t>1</w:t>
            </w:r>
          </w:p>
        </w:tc>
        <w:tc>
          <w:tcPr>
            <w:tcW w:w="1702" w:type="dxa"/>
            <w:vAlign w:val="center"/>
          </w:tcPr>
          <w:p w:rsidR="00F94519" w:rsidRPr="00AD1C54" w:rsidRDefault="00F94519" w:rsidP="009C1A85">
            <w:pPr>
              <w:rPr>
                <w:sz w:val="20"/>
                <w:szCs w:val="20"/>
              </w:rPr>
            </w:pPr>
            <w:r w:rsidRPr="00AD1C54">
              <w:rPr>
                <w:sz w:val="20"/>
                <w:szCs w:val="20"/>
              </w:rPr>
              <w:t>Контрольная кровь, норма</w:t>
            </w:r>
          </w:p>
        </w:tc>
        <w:tc>
          <w:tcPr>
            <w:tcW w:w="3402" w:type="dxa"/>
            <w:vAlign w:val="bottom"/>
          </w:tcPr>
          <w:p w:rsidR="00F94519" w:rsidRPr="00AD1C54" w:rsidRDefault="00F94519" w:rsidP="009C1A85">
            <w:pPr>
              <w:rPr>
                <w:color w:val="000000"/>
                <w:sz w:val="16"/>
                <w:szCs w:val="16"/>
              </w:rPr>
            </w:pPr>
            <w:r w:rsidRPr="00AD1C54">
              <w:rPr>
                <w:color w:val="000000"/>
                <w:sz w:val="16"/>
                <w:szCs w:val="16"/>
              </w:rPr>
              <w:t xml:space="preserve">Контрольная кровь, норма, для автоматического гематологического анализатора ABX </w:t>
            </w:r>
            <w:proofErr w:type="spellStart"/>
            <w:r w:rsidRPr="00AD1C54">
              <w:rPr>
                <w:color w:val="000000"/>
                <w:sz w:val="16"/>
                <w:szCs w:val="16"/>
              </w:rPr>
              <w:t>Pentra</w:t>
            </w:r>
            <w:proofErr w:type="spellEnd"/>
            <w:r w:rsidRPr="00AD1C54">
              <w:rPr>
                <w:color w:val="000000"/>
                <w:sz w:val="16"/>
                <w:szCs w:val="16"/>
              </w:rPr>
              <w:t xml:space="preserve"> 80XL</w:t>
            </w:r>
          </w:p>
        </w:tc>
        <w:tc>
          <w:tcPr>
            <w:tcW w:w="992" w:type="dxa"/>
            <w:vAlign w:val="center"/>
          </w:tcPr>
          <w:p w:rsidR="00F94519" w:rsidRPr="00A3513A" w:rsidRDefault="00F94519" w:rsidP="009C1A85">
            <w:pPr>
              <w:jc w:val="center"/>
              <w:rPr>
                <w:sz w:val="20"/>
                <w:szCs w:val="20"/>
              </w:rPr>
            </w:pPr>
            <w:proofErr w:type="spellStart"/>
            <w:r w:rsidRPr="00A3513A">
              <w:rPr>
                <w:sz w:val="20"/>
                <w:szCs w:val="20"/>
              </w:rPr>
              <w:t>фл</w:t>
            </w:r>
            <w:proofErr w:type="spellEnd"/>
          </w:p>
        </w:tc>
        <w:tc>
          <w:tcPr>
            <w:tcW w:w="1134" w:type="dxa"/>
            <w:vAlign w:val="center"/>
          </w:tcPr>
          <w:p w:rsidR="00F94519" w:rsidRPr="00A3513A" w:rsidRDefault="00F94519" w:rsidP="009C1A85">
            <w:pPr>
              <w:jc w:val="center"/>
              <w:rPr>
                <w:sz w:val="20"/>
                <w:szCs w:val="20"/>
              </w:rPr>
            </w:pPr>
            <w:r w:rsidRPr="00A3513A">
              <w:rPr>
                <w:sz w:val="20"/>
                <w:szCs w:val="20"/>
              </w:rPr>
              <w:t>60</w:t>
            </w:r>
          </w:p>
        </w:tc>
        <w:tc>
          <w:tcPr>
            <w:tcW w:w="1134" w:type="dxa"/>
            <w:vAlign w:val="center"/>
          </w:tcPr>
          <w:p w:rsidR="00F94519" w:rsidRPr="00A3513A" w:rsidRDefault="00F94519" w:rsidP="009C1A85">
            <w:pPr>
              <w:jc w:val="center"/>
              <w:rPr>
                <w:sz w:val="20"/>
                <w:szCs w:val="20"/>
              </w:rPr>
            </w:pPr>
            <w:r w:rsidRPr="00A3513A">
              <w:rPr>
                <w:sz w:val="20"/>
                <w:szCs w:val="20"/>
              </w:rPr>
              <w:t>131 750</w:t>
            </w:r>
          </w:p>
        </w:tc>
        <w:tc>
          <w:tcPr>
            <w:tcW w:w="1559" w:type="dxa"/>
            <w:vAlign w:val="center"/>
          </w:tcPr>
          <w:p w:rsidR="00F94519" w:rsidRPr="00A3513A" w:rsidRDefault="00F94519" w:rsidP="009C1A85">
            <w:pPr>
              <w:jc w:val="center"/>
              <w:rPr>
                <w:b/>
                <w:bCs/>
                <w:sz w:val="20"/>
                <w:szCs w:val="20"/>
              </w:rPr>
            </w:pPr>
            <w:r w:rsidRPr="00A3513A">
              <w:rPr>
                <w:b/>
                <w:bCs/>
                <w:sz w:val="20"/>
                <w:szCs w:val="20"/>
              </w:rPr>
              <w:t>7 905 000</w:t>
            </w:r>
          </w:p>
        </w:tc>
      </w:tr>
      <w:tr w:rsidR="00F94519" w:rsidRPr="00876249" w:rsidTr="00F94519">
        <w:trPr>
          <w:trHeight w:val="1108"/>
        </w:trPr>
        <w:tc>
          <w:tcPr>
            <w:tcW w:w="567" w:type="dxa"/>
          </w:tcPr>
          <w:p w:rsidR="00F94519" w:rsidRDefault="00F94519" w:rsidP="009C1A85">
            <w:pPr>
              <w:pStyle w:val="a3"/>
              <w:rPr>
                <w:sz w:val="20"/>
                <w:szCs w:val="20"/>
                <w:lang w:val="kk-KZ"/>
              </w:rPr>
            </w:pPr>
          </w:p>
          <w:p w:rsidR="00F94519" w:rsidRDefault="00F94519" w:rsidP="009C1A85">
            <w:pPr>
              <w:pStyle w:val="a3"/>
              <w:rPr>
                <w:sz w:val="20"/>
                <w:szCs w:val="20"/>
                <w:lang w:val="kk-KZ"/>
              </w:rPr>
            </w:pPr>
            <w:r>
              <w:rPr>
                <w:sz w:val="20"/>
                <w:szCs w:val="20"/>
                <w:lang w:val="kk-KZ"/>
              </w:rPr>
              <w:t>2</w:t>
            </w:r>
          </w:p>
        </w:tc>
        <w:tc>
          <w:tcPr>
            <w:tcW w:w="1702" w:type="dxa"/>
            <w:vAlign w:val="bottom"/>
          </w:tcPr>
          <w:p w:rsidR="00F94519" w:rsidRPr="00AD1C54" w:rsidRDefault="00F94519" w:rsidP="009C1A85">
            <w:pPr>
              <w:rPr>
                <w:color w:val="000000"/>
                <w:sz w:val="20"/>
                <w:szCs w:val="20"/>
              </w:rPr>
            </w:pPr>
            <w:r w:rsidRPr="00AD1C54">
              <w:rPr>
                <w:color w:val="000000"/>
                <w:sz w:val="20"/>
                <w:szCs w:val="20"/>
              </w:rPr>
              <w:t>Изотонический Р80</w:t>
            </w:r>
          </w:p>
        </w:tc>
        <w:tc>
          <w:tcPr>
            <w:tcW w:w="3402" w:type="dxa"/>
            <w:vAlign w:val="bottom"/>
          </w:tcPr>
          <w:p w:rsidR="00F94519" w:rsidRPr="00AD1C54" w:rsidRDefault="00F94519" w:rsidP="009C1A85">
            <w:pPr>
              <w:rPr>
                <w:color w:val="000000"/>
                <w:sz w:val="16"/>
                <w:szCs w:val="16"/>
              </w:rPr>
            </w:pPr>
            <w:r w:rsidRPr="00AD1C54">
              <w:rPr>
                <w:color w:val="000000"/>
                <w:sz w:val="16"/>
                <w:szCs w:val="16"/>
              </w:rPr>
              <w:t xml:space="preserve">Буферный изотонический раствор, предназначенный для использования при проведении диагностики </w:t>
            </w:r>
            <w:proofErr w:type="spellStart"/>
            <w:r w:rsidRPr="00AD1C54">
              <w:rPr>
                <w:color w:val="000000"/>
                <w:sz w:val="16"/>
                <w:szCs w:val="16"/>
              </w:rPr>
              <w:t>in</w:t>
            </w:r>
            <w:proofErr w:type="spellEnd"/>
            <w:r w:rsidRPr="00AD1C54">
              <w:rPr>
                <w:color w:val="000000"/>
                <w:sz w:val="16"/>
                <w:szCs w:val="16"/>
              </w:rPr>
              <w:t xml:space="preserve"> </w:t>
            </w:r>
            <w:proofErr w:type="spellStart"/>
            <w:r w:rsidRPr="00AD1C54">
              <w:rPr>
                <w:color w:val="000000"/>
                <w:sz w:val="16"/>
                <w:szCs w:val="16"/>
              </w:rPr>
              <w:t>vitro</w:t>
            </w:r>
            <w:proofErr w:type="spellEnd"/>
            <w:r w:rsidRPr="00AD1C54">
              <w:rPr>
                <w:color w:val="000000"/>
                <w:sz w:val="16"/>
                <w:szCs w:val="16"/>
              </w:rPr>
              <w:t xml:space="preserve"> и разработанный для покрытия и разбавления лейкоцитов (WBC), а также для определения и дифференцировки клеток крови, и измерения гематокрита. Предназначено для использования в </w:t>
            </w:r>
            <w:proofErr w:type="spellStart"/>
            <w:r w:rsidRPr="00AD1C54">
              <w:rPr>
                <w:color w:val="000000"/>
                <w:sz w:val="16"/>
                <w:szCs w:val="16"/>
              </w:rPr>
              <w:t>клиникодиагностических</w:t>
            </w:r>
            <w:proofErr w:type="spellEnd"/>
            <w:r w:rsidRPr="00AD1C54">
              <w:rPr>
                <w:color w:val="000000"/>
                <w:sz w:val="16"/>
                <w:szCs w:val="16"/>
              </w:rPr>
              <w:t xml:space="preserve"> лабораториях</w:t>
            </w:r>
            <w:proofErr w:type="gramStart"/>
            <w:r w:rsidRPr="00AD1C54">
              <w:rPr>
                <w:color w:val="000000"/>
                <w:sz w:val="16"/>
                <w:szCs w:val="16"/>
              </w:rPr>
              <w:t>.</w:t>
            </w:r>
            <w:proofErr w:type="gramEnd"/>
            <w:r w:rsidRPr="00AD1C54">
              <w:rPr>
                <w:color w:val="000000"/>
                <w:sz w:val="16"/>
                <w:szCs w:val="16"/>
              </w:rPr>
              <w:t xml:space="preserve"> </w:t>
            </w:r>
            <w:proofErr w:type="gramStart"/>
            <w:r w:rsidRPr="00AD1C54">
              <w:rPr>
                <w:color w:val="000000"/>
                <w:sz w:val="16"/>
                <w:szCs w:val="16"/>
              </w:rPr>
              <w:t>д</w:t>
            </w:r>
            <w:proofErr w:type="gramEnd"/>
            <w:r w:rsidRPr="00AD1C54">
              <w:rPr>
                <w:color w:val="000000"/>
                <w:sz w:val="16"/>
                <w:szCs w:val="16"/>
              </w:rPr>
              <w:t xml:space="preserve">ля автоматического гематологического анализатора ABX </w:t>
            </w:r>
            <w:proofErr w:type="spellStart"/>
            <w:r w:rsidRPr="00AD1C54">
              <w:rPr>
                <w:color w:val="000000"/>
                <w:sz w:val="16"/>
                <w:szCs w:val="16"/>
              </w:rPr>
              <w:t>Pentra</w:t>
            </w:r>
            <w:proofErr w:type="spellEnd"/>
            <w:r w:rsidRPr="00AD1C54">
              <w:rPr>
                <w:color w:val="000000"/>
                <w:sz w:val="16"/>
                <w:szCs w:val="16"/>
              </w:rPr>
              <w:t xml:space="preserve"> 80XL</w:t>
            </w:r>
          </w:p>
        </w:tc>
        <w:tc>
          <w:tcPr>
            <w:tcW w:w="992" w:type="dxa"/>
            <w:vAlign w:val="center"/>
          </w:tcPr>
          <w:p w:rsidR="00F94519" w:rsidRPr="00A3513A" w:rsidRDefault="00F94519" w:rsidP="009C1A85">
            <w:pPr>
              <w:jc w:val="center"/>
              <w:rPr>
                <w:sz w:val="20"/>
                <w:szCs w:val="20"/>
              </w:rPr>
            </w:pPr>
            <w:proofErr w:type="spellStart"/>
            <w:proofErr w:type="gramStart"/>
            <w:r w:rsidRPr="00A3513A">
              <w:rPr>
                <w:sz w:val="20"/>
                <w:szCs w:val="20"/>
              </w:rPr>
              <w:t>шт</w:t>
            </w:r>
            <w:proofErr w:type="spellEnd"/>
            <w:proofErr w:type="gramEnd"/>
          </w:p>
        </w:tc>
        <w:tc>
          <w:tcPr>
            <w:tcW w:w="1134" w:type="dxa"/>
            <w:vAlign w:val="center"/>
          </w:tcPr>
          <w:p w:rsidR="00F94519" w:rsidRPr="00A3513A" w:rsidRDefault="00F94519" w:rsidP="009C1A85">
            <w:pPr>
              <w:jc w:val="center"/>
              <w:rPr>
                <w:sz w:val="20"/>
                <w:szCs w:val="20"/>
              </w:rPr>
            </w:pPr>
            <w:r w:rsidRPr="00A3513A">
              <w:rPr>
                <w:sz w:val="20"/>
                <w:szCs w:val="20"/>
              </w:rPr>
              <w:t>200</w:t>
            </w:r>
          </w:p>
        </w:tc>
        <w:tc>
          <w:tcPr>
            <w:tcW w:w="1134" w:type="dxa"/>
            <w:vAlign w:val="center"/>
          </w:tcPr>
          <w:p w:rsidR="00F94519" w:rsidRPr="00A3513A" w:rsidRDefault="00F94519" w:rsidP="009C1A85">
            <w:pPr>
              <w:jc w:val="center"/>
              <w:rPr>
                <w:sz w:val="20"/>
                <w:szCs w:val="20"/>
              </w:rPr>
            </w:pPr>
            <w:r w:rsidRPr="00A3513A">
              <w:rPr>
                <w:sz w:val="20"/>
                <w:szCs w:val="20"/>
              </w:rPr>
              <w:t>71 750</w:t>
            </w:r>
          </w:p>
        </w:tc>
        <w:tc>
          <w:tcPr>
            <w:tcW w:w="1559" w:type="dxa"/>
            <w:vAlign w:val="center"/>
          </w:tcPr>
          <w:p w:rsidR="00F94519" w:rsidRPr="00A3513A" w:rsidRDefault="00F94519" w:rsidP="009C1A85">
            <w:pPr>
              <w:jc w:val="center"/>
              <w:rPr>
                <w:b/>
                <w:bCs/>
                <w:sz w:val="20"/>
                <w:szCs w:val="20"/>
              </w:rPr>
            </w:pPr>
            <w:r w:rsidRPr="00A3513A">
              <w:rPr>
                <w:b/>
                <w:bCs/>
                <w:sz w:val="20"/>
                <w:szCs w:val="20"/>
              </w:rPr>
              <w:t>14 350 000</w:t>
            </w:r>
          </w:p>
        </w:tc>
      </w:tr>
      <w:tr w:rsidR="00F94519" w:rsidRPr="00876249" w:rsidTr="00F94519">
        <w:trPr>
          <w:trHeight w:val="1108"/>
        </w:trPr>
        <w:tc>
          <w:tcPr>
            <w:tcW w:w="567" w:type="dxa"/>
          </w:tcPr>
          <w:p w:rsidR="00F94519" w:rsidRDefault="00F94519" w:rsidP="009C1A85">
            <w:pPr>
              <w:pStyle w:val="a3"/>
              <w:rPr>
                <w:sz w:val="20"/>
                <w:szCs w:val="20"/>
                <w:lang w:val="kk-KZ"/>
              </w:rPr>
            </w:pPr>
            <w:r>
              <w:rPr>
                <w:sz w:val="20"/>
                <w:szCs w:val="20"/>
                <w:lang w:val="kk-KZ"/>
              </w:rPr>
              <w:t>3</w:t>
            </w:r>
          </w:p>
        </w:tc>
        <w:tc>
          <w:tcPr>
            <w:tcW w:w="1702" w:type="dxa"/>
            <w:vAlign w:val="center"/>
          </w:tcPr>
          <w:p w:rsidR="00F94519" w:rsidRPr="00AD1C54" w:rsidRDefault="00F94519" w:rsidP="009C1A85">
            <w:pPr>
              <w:rPr>
                <w:color w:val="000000"/>
                <w:sz w:val="20"/>
                <w:szCs w:val="20"/>
              </w:rPr>
            </w:pPr>
            <w:proofErr w:type="spellStart"/>
            <w:r w:rsidRPr="00AD1C54">
              <w:rPr>
                <w:color w:val="000000"/>
                <w:sz w:val="20"/>
                <w:szCs w:val="20"/>
              </w:rPr>
              <w:t>Лизирующий</w:t>
            </w:r>
            <w:proofErr w:type="spellEnd"/>
            <w:r w:rsidRPr="00AD1C54">
              <w:rPr>
                <w:color w:val="000000"/>
                <w:sz w:val="20"/>
                <w:szCs w:val="20"/>
              </w:rPr>
              <w:t xml:space="preserve"> раствор базофилы</w:t>
            </w:r>
          </w:p>
        </w:tc>
        <w:tc>
          <w:tcPr>
            <w:tcW w:w="3402" w:type="dxa"/>
            <w:vAlign w:val="bottom"/>
          </w:tcPr>
          <w:p w:rsidR="00F94519" w:rsidRPr="00AD1C54" w:rsidRDefault="00F94519" w:rsidP="009C1A85">
            <w:pPr>
              <w:rPr>
                <w:color w:val="000000"/>
                <w:sz w:val="16"/>
                <w:szCs w:val="16"/>
              </w:rPr>
            </w:pPr>
            <w:proofErr w:type="spellStart"/>
            <w:r w:rsidRPr="00AD1C54">
              <w:rPr>
                <w:color w:val="000000"/>
                <w:sz w:val="16"/>
                <w:szCs w:val="16"/>
              </w:rPr>
              <w:t>Лизирующий</w:t>
            </w:r>
            <w:proofErr w:type="spellEnd"/>
            <w:r w:rsidRPr="00AD1C54">
              <w:rPr>
                <w:color w:val="000000"/>
                <w:sz w:val="16"/>
                <w:szCs w:val="16"/>
              </w:rPr>
              <w:t xml:space="preserve"> раствор, предназначенный для использования в </w:t>
            </w:r>
            <w:proofErr w:type="spellStart"/>
            <w:r w:rsidRPr="00AD1C54">
              <w:rPr>
                <w:color w:val="000000"/>
                <w:sz w:val="16"/>
                <w:szCs w:val="16"/>
              </w:rPr>
              <w:t>in</w:t>
            </w:r>
            <w:proofErr w:type="spellEnd"/>
            <w:r w:rsidRPr="00AD1C54">
              <w:rPr>
                <w:color w:val="000000"/>
                <w:sz w:val="16"/>
                <w:szCs w:val="16"/>
              </w:rPr>
              <w:t xml:space="preserve"> </w:t>
            </w:r>
            <w:proofErr w:type="spellStart"/>
            <w:r w:rsidRPr="00AD1C54">
              <w:rPr>
                <w:color w:val="000000"/>
                <w:sz w:val="16"/>
                <w:szCs w:val="16"/>
              </w:rPr>
              <w:t>vitro</w:t>
            </w:r>
            <w:proofErr w:type="spellEnd"/>
            <w:r w:rsidRPr="00AD1C54">
              <w:rPr>
                <w:color w:val="000000"/>
                <w:sz w:val="16"/>
                <w:szCs w:val="16"/>
              </w:rPr>
              <w:t xml:space="preserve"> диагностике и разработанный для разрушения эритроцитов (RBC), для подсчета и дифференцировки лейкоцитов (WBC)</w:t>
            </w:r>
            <w:proofErr w:type="gramStart"/>
            <w:r w:rsidRPr="00AD1C54">
              <w:rPr>
                <w:color w:val="000000"/>
                <w:sz w:val="16"/>
                <w:szCs w:val="16"/>
              </w:rPr>
              <w:t>.</w:t>
            </w:r>
            <w:proofErr w:type="gramEnd"/>
            <w:r w:rsidRPr="00AD1C54">
              <w:rPr>
                <w:color w:val="000000"/>
                <w:sz w:val="16"/>
                <w:szCs w:val="16"/>
              </w:rPr>
              <w:t xml:space="preserve"> </w:t>
            </w:r>
            <w:proofErr w:type="gramStart"/>
            <w:r w:rsidRPr="00AD1C54">
              <w:rPr>
                <w:color w:val="000000"/>
                <w:sz w:val="16"/>
                <w:szCs w:val="16"/>
              </w:rPr>
              <w:t>д</w:t>
            </w:r>
            <w:proofErr w:type="gramEnd"/>
            <w:r w:rsidRPr="00AD1C54">
              <w:rPr>
                <w:color w:val="000000"/>
                <w:sz w:val="16"/>
                <w:szCs w:val="16"/>
              </w:rPr>
              <w:t xml:space="preserve">ля автоматического гематологического анализатора ABX </w:t>
            </w:r>
            <w:proofErr w:type="spellStart"/>
            <w:r w:rsidRPr="00AD1C54">
              <w:rPr>
                <w:color w:val="000000"/>
                <w:sz w:val="16"/>
                <w:szCs w:val="16"/>
              </w:rPr>
              <w:t>Pentra</w:t>
            </w:r>
            <w:proofErr w:type="spellEnd"/>
            <w:r w:rsidRPr="00AD1C54">
              <w:rPr>
                <w:color w:val="000000"/>
                <w:sz w:val="16"/>
                <w:szCs w:val="16"/>
              </w:rPr>
              <w:t xml:space="preserve"> 80XL</w:t>
            </w:r>
          </w:p>
        </w:tc>
        <w:tc>
          <w:tcPr>
            <w:tcW w:w="992" w:type="dxa"/>
            <w:vAlign w:val="center"/>
          </w:tcPr>
          <w:p w:rsidR="00F94519" w:rsidRPr="00A3513A" w:rsidRDefault="00F94519" w:rsidP="009C1A85">
            <w:pPr>
              <w:jc w:val="center"/>
              <w:rPr>
                <w:sz w:val="20"/>
                <w:szCs w:val="20"/>
              </w:rPr>
            </w:pPr>
            <w:proofErr w:type="spellStart"/>
            <w:r w:rsidRPr="00A3513A">
              <w:rPr>
                <w:sz w:val="20"/>
                <w:szCs w:val="20"/>
              </w:rPr>
              <w:t>фл</w:t>
            </w:r>
            <w:proofErr w:type="spellEnd"/>
          </w:p>
        </w:tc>
        <w:tc>
          <w:tcPr>
            <w:tcW w:w="1134" w:type="dxa"/>
            <w:vAlign w:val="center"/>
          </w:tcPr>
          <w:p w:rsidR="00F94519" w:rsidRPr="00A3513A" w:rsidRDefault="00F94519" w:rsidP="009C1A85">
            <w:pPr>
              <w:jc w:val="center"/>
              <w:rPr>
                <w:sz w:val="20"/>
                <w:szCs w:val="20"/>
              </w:rPr>
            </w:pPr>
            <w:r w:rsidRPr="00A3513A">
              <w:rPr>
                <w:sz w:val="20"/>
                <w:szCs w:val="20"/>
              </w:rPr>
              <w:t>260</w:t>
            </w:r>
          </w:p>
        </w:tc>
        <w:tc>
          <w:tcPr>
            <w:tcW w:w="1134" w:type="dxa"/>
            <w:vAlign w:val="center"/>
          </w:tcPr>
          <w:p w:rsidR="00F94519" w:rsidRPr="00A3513A" w:rsidRDefault="00F94519" w:rsidP="009C1A85">
            <w:pPr>
              <w:jc w:val="center"/>
              <w:rPr>
                <w:sz w:val="20"/>
                <w:szCs w:val="20"/>
              </w:rPr>
            </w:pPr>
            <w:r w:rsidRPr="00A3513A">
              <w:rPr>
                <w:sz w:val="20"/>
                <w:szCs w:val="20"/>
              </w:rPr>
              <w:t>85 750</w:t>
            </w:r>
          </w:p>
        </w:tc>
        <w:tc>
          <w:tcPr>
            <w:tcW w:w="1559" w:type="dxa"/>
            <w:vAlign w:val="center"/>
          </w:tcPr>
          <w:p w:rsidR="00F94519" w:rsidRPr="00A3513A" w:rsidRDefault="00F94519" w:rsidP="009C1A85">
            <w:pPr>
              <w:jc w:val="center"/>
              <w:rPr>
                <w:b/>
                <w:bCs/>
                <w:sz w:val="20"/>
                <w:szCs w:val="20"/>
              </w:rPr>
            </w:pPr>
            <w:r w:rsidRPr="00A3513A">
              <w:rPr>
                <w:b/>
                <w:bCs/>
                <w:sz w:val="20"/>
                <w:szCs w:val="20"/>
              </w:rPr>
              <w:t>22 295 000</w:t>
            </w:r>
          </w:p>
        </w:tc>
      </w:tr>
      <w:tr w:rsidR="00F94519" w:rsidRPr="00876249" w:rsidTr="00F94519">
        <w:trPr>
          <w:trHeight w:val="1108"/>
        </w:trPr>
        <w:tc>
          <w:tcPr>
            <w:tcW w:w="567" w:type="dxa"/>
          </w:tcPr>
          <w:p w:rsidR="00F94519" w:rsidRDefault="00F94519" w:rsidP="009C1A85">
            <w:pPr>
              <w:pStyle w:val="a3"/>
              <w:rPr>
                <w:sz w:val="20"/>
                <w:szCs w:val="20"/>
                <w:lang w:val="kk-KZ"/>
              </w:rPr>
            </w:pPr>
            <w:r>
              <w:rPr>
                <w:sz w:val="20"/>
                <w:szCs w:val="20"/>
                <w:lang w:val="kk-KZ"/>
              </w:rPr>
              <w:t>4</w:t>
            </w:r>
          </w:p>
        </w:tc>
        <w:tc>
          <w:tcPr>
            <w:tcW w:w="1702" w:type="dxa"/>
            <w:vAlign w:val="bottom"/>
          </w:tcPr>
          <w:p w:rsidR="00F94519" w:rsidRPr="00AD1C54" w:rsidRDefault="00F94519" w:rsidP="009C1A85">
            <w:pPr>
              <w:rPr>
                <w:color w:val="000000"/>
                <w:sz w:val="20"/>
                <w:szCs w:val="20"/>
              </w:rPr>
            </w:pPr>
            <w:proofErr w:type="spellStart"/>
            <w:r w:rsidRPr="00AD1C54">
              <w:rPr>
                <w:color w:val="000000"/>
                <w:sz w:val="20"/>
                <w:szCs w:val="20"/>
              </w:rPr>
              <w:t>Лизирующий</w:t>
            </w:r>
            <w:proofErr w:type="spellEnd"/>
            <w:r w:rsidRPr="00AD1C54">
              <w:rPr>
                <w:color w:val="000000"/>
                <w:sz w:val="20"/>
                <w:szCs w:val="20"/>
              </w:rPr>
              <w:t xml:space="preserve"> раствор Р80</w:t>
            </w:r>
          </w:p>
        </w:tc>
        <w:tc>
          <w:tcPr>
            <w:tcW w:w="3402" w:type="dxa"/>
            <w:vAlign w:val="bottom"/>
          </w:tcPr>
          <w:p w:rsidR="00F94519" w:rsidRPr="00AD1C54" w:rsidRDefault="00F94519" w:rsidP="009C1A85">
            <w:pPr>
              <w:rPr>
                <w:color w:val="000000"/>
                <w:sz w:val="16"/>
                <w:szCs w:val="16"/>
              </w:rPr>
            </w:pPr>
            <w:proofErr w:type="spellStart"/>
            <w:r w:rsidRPr="00AD1C54">
              <w:rPr>
                <w:color w:val="000000"/>
                <w:sz w:val="16"/>
                <w:szCs w:val="16"/>
              </w:rPr>
              <w:t>Лизирующий</w:t>
            </w:r>
            <w:proofErr w:type="spellEnd"/>
            <w:r w:rsidRPr="00AD1C54">
              <w:rPr>
                <w:color w:val="000000"/>
                <w:sz w:val="16"/>
                <w:szCs w:val="16"/>
              </w:rPr>
              <w:t xml:space="preserve"> раствор, предназначенный для диагностики </w:t>
            </w:r>
            <w:proofErr w:type="spellStart"/>
            <w:r w:rsidRPr="00AD1C54">
              <w:rPr>
                <w:color w:val="000000"/>
                <w:sz w:val="16"/>
                <w:szCs w:val="16"/>
              </w:rPr>
              <w:t>in</w:t>
            </w:r>
            <w:proofErr w:type="spellEnd"/>
            <w:r w:rsidRPr="00AD1C54">
              <w:rPr>
                <w:color w:val="000000"/>
                <w:sz w:val="16"/>
                <w:szCs w:val="16"/>
              </w:rPr>
              <w:t xml:space="preserve"> </w:t>
            </w:r>
            <w:proofErr w:type="spellStart"/>
            <w:r w:rsidRPr="00AD1C54">
              <w:rPr>
                <w:color w:val="000000"/>
                <w:sz w:val="16"/>
                <w:szCs w:val="16"/>
              </w:rPr>
              <w:t>vitro</w:t>
            </w:r>
            <w:proofErr w:type="spellEnd"/>
            <w:r w:rsidRPr="00AD1C54">
              <w:rPr>
                <w:color w:val="000000"/>
                <w:sz w:val="16"/>
                <w:szCs w:val="16"/>
              </w:rPr>
              <w:t xml:space="preserve"> и применяемый для лизиса эритроцитов (RBC) с целью подсчета и дифференцировки лейкоцитов (WBC) и определения концентрации гемоглобина для автоматического гематологического анализатора ABX </w:t>
            </w:r>
            <w:proofErr w:type="spellStart"/>
            <w:r w:rsidRPr="00AD1C54">
              <w:rPr>
                <w:color w:val="000000"/>
                <w:sz w:val="16"/>
                <w:szCs w:val="16"/>
              </w:rPr>
              <w:t>Pentra</w:t>
            </w:r>
            <w:proofErr w:type="spellEnd"/>
            <w:r w:rsidRPr="00AD1C54">
              <w:rPr>
                <w:color w:val="000000"/>
                <w:sz w:val="16"/>
                <w:szCs w:val="16"/>
              </w:rPr>
              <w:t xml:space="preserve"> 80XL</w:t>
            </w:r>
          </w:p>
        </w:tc>
        <w:tc>
          <w:tcPr>
            <w:tcW w:w="992" w:type="dxa"/>
            <w:vAlign w:val="center"/>
          </w:tcPr>
          <w:p w:rsidR="00F94519" w:rsidRPr="00A3513A" w:rsidRDefault="00F94519" w:rsidP="009C1A85">
            <w:pPr>
              <w:jc w:val="center"/>
              <w:rPr>
                <w:sz w:val="20"/>
                <w:szCs w:val="20"/>
              </w:rPr>
            </w:pPr>
            <w:proofErr w:type="spellStart"/>
            <w:r w:rsidRPr="00A3513A">
              <w:rPr>
                <w:sz w:val="20"/>
                <w:szCs w:val="20"/>
              </w:rPr>
              <w:t>фл</w:t>
            </w:r>
            <w:proofErr w:type="spellEnd"/>
          </w:p>
        </w:tc>
        <w:tc>
          <w:tcPr>
            <w:tcW w:w="1134" w:type="dxa"/>
            <w:vAlign w:val="center"/>
          </w:tcPr>
          <w:p w:rsidR="00F94519" w:rsidRPr="00A3513A" w:rsidRDefault="00F94519" w:rsidP="009C1A85">
            <w:pPr>
              <w:jc w:val="center"/>
              <w:rPr>
                <w:sz w:val="20"/>
                <w:szCs w:val="20"/>
              </w:rPr>
            </w:pPr>
            <w:r w:rsidRPr="00A3513A">
              <w:rPr>
                <w:sz w:val="20"/>
                <w:szCs w:val="20"/>
              </w:rPr>
              <w:t>150</w:t>
            </w:r>
          </w:p>
        </w:tc>
        <w:tc>
          <w:tcPr>
            <w:tcW w:w="1134" w:type="dxa"/>
            <w:vAlign w:val="center"/>
          </w:tcPr>
          <w:p w:rsidR="00F94519" w:rsidRPr="00A3513A" w:rsidRDefault="00F94519" w:rsidP="009C1A85">
            <w:pPr>
              <w:jc w:val="center"/>
              <w:rPr>
                <w:sz w:val="20"/>
                <w:szCs w:val="20"/>
              </w:rPr>
            </w:pPr>
            <w:r w:rsidRPr="00A3513A">
              <w:rPr>
                <w:sz w:val="20"/>
                <w:szCs w:val="20"/>
              </w:rPr>
              <w:t>85 750</w:t>
            </w:r>
          </w:p>
        </w:tc>
        <w:tc>
          <w:tcPr>
            <w:tcW w:w="1559" w:type="dxa"/>
            <w:vAlign w:val="center"/>
          </w:tcPr>
          <w:p w:rsidR="00F94519" w:rsidRPr="00A3513A" w:rsidRDefault="00F94519" w:rsidP="009C1A85">
            <w:pPr>
              <w:jc w:val="center"/>
              <w:rPr>
                <w:b/>
                <w:bCs/>
                <w:sz w:val="20"/>
                <w:szCs w:val="20"/>
              </w:rPr>
            </w:pPr>
            <w:r w:rsidRPr="00A3513A">
              <w:rPr>
                <w:b/>
                <w:bCs/>
                <w:sz w:val="20"/>
                <w:szCs w:val="20"/>
              </w:rPr>
              <w:t>12 862 500</w:t>
            </w:r>
          </w:p>
        </w:tc>
      </w:tr>
      <w:tr w:rsidR="00F94519" w:rsidRPr="00876249" w:rsidTr="00F94519">
        <w:trPr>
          <w:trHeight w:val="1108"/>
        </w:trPr>
        <w:tc>
          <w:tcPr>
            <w:tcW w:w="567" w:type="dxa"/>
          </w:tcPr>
          <w:p w:rsidR="00F94519" w:rsidRDefault="00F94519" w:rsidP="009C1A85">
            <w:pPr>
              <w:pStyle w:val="a3"/>
              <w:rPr>
                <w:sz w:val="20"/>
                <w:szCs w:val="20"/>
                <w:lang w:val="kk-KZ"/>
              </w:rPr>
            </w:pPr>
            <w:r>
              <w:rPr>
                <w:sz w:val="20"/>
                <w:szCs w:val="20"/>
                <w:lang w:val="kk-KZ"/>
              </w:rPr>
              <w:t>5</w:t>
            </w:r>
          </w:p>
        </w:tc>
        <w:tc>
          <w:tcPr>
            <w:tcW w:w="1702" w:type="dxa"/>
            <w:vAlign w:val="bottom"/>
          </w:tcPr>
          <w:p w:rsidR="00F94519" w:rsidRPr="00AD1C54" w:rsidRDefault="00F94519" w:rsidP="009C1A85">
            <w:pPr>
              <w:rPr>
                <w:color w:val="000000"/>
                <w:sz w:val="20"/>
                <w:szCs w:val="20"/>
              </w:rPr>
            </w:pPr>
            <w:proofErr w:type="spellStart"/>
            <w:r w:rsidRPr="00AD1C54">
              <w:rPr>
                <w:color w:val="000000"/>
                <w:sz w:val="20"/>
                <w:szCs w:val="20"/>
              </w:rPr>
              <w:t>Лизирующий</w:t>
            </w:r>
            <w:proofErr w:type="spellEnd"/>
            <w:r w:rsidRPr="00AD1C54">
              <w:rPr>
                <w:color w:val="000000"/>
                <w:sz w:val="20"/>
                <w:szCs w:val="20"/>
              </w:rPr>
              <w:t xml:space="preserve"> раствор эозинофила</w:t>
            </w:r>
          </w:p>
        </w:tc>
        <w:tc>
          <w:tcPr>
            <w:tcW w:w="3402" w:type="dxa"/>
            <w:vAlign w:val="bottom"/>
          </w:tcPr>
          <w:p w:rsidR="00F94519" w:rsidRPr="00AD1C54" w:rsidRDefault="00F94519" w:rsidP="009C1A85">
            <w:pPr>
              <w:rPr>
                <w:color w:val="000000"/>
                <w:sz w:val="16"/>
                <w:szCs w:val="16"/>
              </w:rPr>
            </w:pPr>
            <w:proofErr w:type="spellStart"/>
            <w:r w:rsidRPr="00AD1C54">
              <w:rPr>
                <w:color w:val="000000"/>
                <w:sz w:val="16"/>
                <w:szCs w:val="16"/>
              </w:rPr>
              <w:t>Лизирующий</w:t>
            </w:r>
            <w:proofErr w:type="spellEnd"/>
            <w:r w:rsidRPr="00AD1C54">
              <w:rPr>
                <w:color w:val="000000"/>
                <w:sz w:val="16"/>
                <w:szCs w:val="16"/>
              </w:rPr>
              <w:t xml:space="preserve"> раствор, предназначенный для использования в </w:t>
            </w:r>
            <w:proofErr w:type="spellStart"/>
            <w:r w:rsidRPr="00AD1C54">
              <w:rPr>
                <w:color w:val="000000"/>
                <w:sz w:val="16"/>
                <w:szCs w:val="16"/>
              </w:rPr>
              <w:t>in</w:t>
            </w:r>
            <w:proofErr w:type="spellEnd"/>
            <w:r w:rsidRPr="00AD1C54">
              <w:rPr>
                <w:color w:val="000000"/>
                <w:sz w:val="16"/>
                <w:szCs w:val="16"/>
              </w:rPr>
              <w:t xml:space="preserve"> </w:t>
            </w:r>
            <w:proofErr w:type="spellStart"/>
            <w:r w:rsidRPr="00AD1C54">
              <w:rPr>
                <w:color w:val="000000"/>
                <w:sz w:val="16"/>
                <w:szCs w:val="16"/>
              </w:rPr>
              <w:t>vitro</w:t>
            </w:r>
            <w:proofErr w:type="spellEnd"/>
            <w:r w:rsidRPr="00AD1C54">
              <w:rPr>
                <w:color w:val="000000"/>
                <w:sz w:val="16"/>
                <w:szCs w:val="16"/>
              </w:rPr>
              <w:t xml:space="preserve"> диагностике и разработанный для разрушения эритроцитов (RBC), для подсчета и дифференцировки лейкоцитов (WBC) на счетчиках форменных элементов крови</w:t>
            </w:r>
            <w:proofErr w:type="gramStart"/>
            <w:r w:rsidRPr="00AD1C54">
              <w:rPr>
                <w:color w:val="000000"/>
                <w:sz w:val="16"/>
                <w:szCs w:val="16"/>
              </w:rPr>
              <w:t>.</w:t>
            </w:r>
            <w:proofErr w:type="gramEnd"/>
            <w:r w:rsidRPr="00AD1C54">
              <w:rPr>
                <w:color w:val="000000"/>
                <w:sz w:val="16"/>
                <w:szCs w:val="16"/>
              </w:rPr>
              <w:t xml:space="preserve"> </w:t>
            </w:r>
            <w:proofErr w:type="gramStart"/>
            <w:r w:rsidRPr="00AD1C54">
              <w:rPr>
                <w:color w:val="000000"/>
                <w:sz w:val="16"/>
                <w:szCs w:val="16"/>
              </w:rPr>
              <w:t>д</w:t>
            </w:r>
            <w:proofErr w:type="gramEnd"/>
            <w:r w:rsidRPr="00AD1C54">
              <w:rPr>
                <w:color w:val="000000"/>
                <w:sz w:val="16"/>
                <w:szCs w:val="16"/>
              </w:rPr>
              <w:t xml:space="preserve">ля автоматического гематологического анализатора ABX </w:t>
            </w:r>
            <w:proofErr w:type="spellStart"/>
            <w:r w:rsidRPr="00AD1C54">
              <w:rPr>
                <w:color w:val="000000"/>
                <w:sz w:val="16"/>
                <w:szCs w:val="16"/>
              </w:rPr>
              <w:t>Pentra</w:t>
            </w:r>
            <w:proofErr w:type="spellEnd"/>
            <w:r w:rsidRPr="00AD1C54">
              <w:rPr>
                <w:color w:val="000000"/>
                <w:sz w:val="16"/>
                <w:szCs w:val="16"/>
              </w:rPr>
              <w:t xml:space="preserve"> 80XL</w:t>
            </w:r>
          </w:p>
        </w:tc>
        <w:tc>
          <w:tcPr>
            <w:tcW w:w="992" w:type="dxa"/>
            <w:vAlign w:val="center"/>
          </w:tcPr>
          <w:p w:rsidR="00F94519" w:rsidRPr="00A3513A" w:rsidRDefault="00F94519" w:rsidP="009C1A85">
            <w:pPr>
              <w:jc w:val="center"/>
              <w:rPr>
                <w:sz w:val="20"/>
                <w:szCs w:val="20"/>
              </w:rPr>
            </w:pPr>
            <w:proofErr w:type="spellStart"/>
            <w:r w:rsidRPr="00A3513A">
              <w:rPr>
                <w:sz w:val="20"/>
                <w:szCs w:val="20"/>
              </w:rPr>
              <w:t>фл</w:t>
            </w:r>
            <w:proofErr w:type="spellEnd"/>
          </w:p>
        </w:tc>
        <w:tc>
          <w:tcPr>
            <w:tcW w:w="1134" w:type="dxa"/>
            <w:vAlign w:val="center"/>
          </w:tcPr>
          <w:p w:rsidR="00F94519" w:rsidRPr="00A3513A" w:rsidRDefault="00F94519" w:rsidP="009C1A85">
            <w:pPr>
              <w:jc w:val="center"/>
              <w:rPr>
                <w:sz w:val="20"/>
                <w:szCs w:val="20"/>
              </w:rPr>
            </w:pPr>
            <w:r w:rsidRPr="00A3513A">
              <w:rPr>
                <w:sz w:val="20"/>
                <w:szCs w:val="20"/>
              </w:rPr>
              <w:t>140</w:t>
            </w:r>
          </w:p>
        </w:tc>
        <w:tc>
          <w:tcPr>
            <w:tcW w:w="1134" w:type="dxa"/>
            <w:vAlign w:val="center"/>
          </w:tcPr>
          <w:p w:rsidR="00F94519" w:rsidRPr="00A3513A" w:rsidRDefault="00F94519" w:rsidP="009C1A85">
            <w:pPr>
              <w:jc w:val="center"/>
              <w:rPr>
                <w:sz w:val="20"/>
                <w:szCs w:val="20"/>
              </w:rPr>
            </w:pPr>
            <w:r w:rsidRPr="00A3513A">
              <w:rPr>
                <w:sz w:val="20"/>
                <w:szCs w:val="20"/>
              </w:rPr>
              <w:t>94 750</w:t>
            </w:r>
          </w:p>
        </w:tc>
        <w:tc>
          <w:tcPr>
            <w:tcW w:w="1559" w:type="dxa"/>
            <w:vAlign w:val="center"/>
          </w:tcPr>
          <w:p w:rsidR="00F94519" w:rsidRPr="00A3513A" w:rsidRDefault="00F94519" w:rsidP="009C1A85">
            <w:pPr>
              <w:jc w:val="center"/>
              <w:rPr>
                <w:b/>
                <w:bCs/>
                <w:sz w:val="20"/>
                <w:szCs w:val="20"/>
              </w:rPr>
            </w:pPr>
            <w:r w:rsidRPr="00A3513A">
              <w:rPr>
                <w:b/>
                <w:bCs/>
                <w:sz w:val="20"/>
                <w:szCs w:val="20"/>
              </w:rPr>
              <w:t>13 265 000</w:t>
            </w:r>
          </w:p>
        </w:tc>
      </w:tr>
      <w:tr w:rsidR="00F94519" w:rsidRPr="00876249" w:rsidTr="00F94519">
        <w:trPr>
          <w:trHeight w:val="1108"/>
        </w:trPr>
        <w:tc>
          <w:tcPr>
            <w:tcW w:w="567" w:type="dxa"/>
          </w:tcPr>
          <w:p w:rsidR="00F94519" w:rsidRDefault="00F94519" w:rsidP="009C1A85">
            <w:pPr>
              <w:pStyle w:val="a3"/>
              <w:rPr>
                <w:sz w:val="20"/>
                <w:szCs w:val="20"/>
                <w:lang w:val="kk-KZ"/>
              </w:rPr>
            </w:pPr>
            <w:r>
              <w:rPr>
                <w:sz w:val="20"/>
                <w:szCs w:val="20"/>
                <w:lang w:val="kk-KZ"/>
              </w:rPr>
              <w:t>6</w:t>
            </w:r>
          </w:p>
        </w:tc>
        <w:tc>
          <w:tcPr>
            <w:tcW w:w="1702" w:type="dxa"/>
            <w:vAlign w:val="center"/>
          </w:tcPr>
          <w:p w:rsidR="00F94519" w:rsidRPr="00AD1C54" w:rsidRDefault="00F94519" w:rsidP="009C1A85">
            <w:pPr>
              <w:rPr>
                <w:color w:val="000000"/>
                <w:sz w:val="20"/>
                <w:szCs w:val="20"/>
              </w:rPr>
            </w:pPr>
            <w:r w:rsidRPr="00AD1C54">
              <w:rPr>
                <w:color w:val="000000"/>
                <w:sz w:val="20"/>
                <w:szCs w:val="20"/>
              </w:rPr>
              <w:t>Холестерин низкой плотности</w:t>
            </w:r>
          </w:p>
        </w:tc>
        <w:tc>
          <w:tcPr>
            <w:tcW w:w="3402" w:type="dxa"/>
            <w:vAlign w:val="bottom"/>
          </w:tcPr>
          <w:p w:rsidR="00F94519" w:rsidRPr="00AD1C54" w:rsidRDefault="00F94519" w:rsidP="009C1A85">
            <w:pPr>
              <w:rPr>
                <w:sz w:val="16"/>
                <w:szCs w:val="16"/>
              </w:rPr>
            </w:pPr>
            <w:r w:rsidRPr="00AD1C54">
              <w:rPr>
                <w:sz w:val="16"/>
                <w:szCs w:val="16"/>
              </w:rPr>
              <w:t xml:space="preserve">Реагент предназначен для диагностического количественного определения </w:t>
            </w:r>
            <w:proofErr w:type="spellStart"/>
            <w:r w:rsidRPr="00AD1C54">
              <w:rPr>
                <w:sz w:val="16"/>
                <w:szCs w:val="16"/>
              </w:rPr>
              <w:t>in</w:t>
            </w:r>
            <w:proofErr w:type="spellEnd"/>
            <w:r w:rsidRPr="00AD1C54">
              <w:rPr>
                <w:sz w:val="16"/>
                <w:szCs w:val="16"/>
              </w:rPr>
              <w:t xml:space="preserve"> </w:t>
            </w:r>
            <w:proofErr w:type="spellStart"/>
            <w:r w:rsidRPr="00AD1C54">
              <w:rPr>
                <w:sz w:val="16"/>
                <w:szCs w:val="16"/>
              </w:rPr>
              <w:t>vitro</w:t>
            </w:r>
            <w:proofErr w:type="spellEnd"/>
            <w:r w:rsidRPr="00AD1C54">
              <w:rPr>
                <w:sz w:val="16"/>
                <w:szCs w:val="16"/>
              </w:rPr>
              <w:t xml:space="preserve"> холестерина в сыворотке и плазме крови человека с помощью ферментативного фотометрического анализа (реакция </w:t>
            </w:r>
            <w:proofErr w:type="spellStart"/>
            <w:r w:rsidRPr="00AD1C54">
              <w:rPr>
                <w:sz w:val="16"/>
                <w:szCs w:val="16"/>
              </w:rPr>
              <w:t>Триндера</w:t>
            </w:r>
            <w:proofErr w:type="spellEnd"/>
            <w:r w:rsidRPr="00AD1C54">
              <w:rPr>
                <w:sz w:val="16"/>
                <w:szCs w:val="16"/>
              </w:rPr>
              <w:t xml:space="preserve">). Определение холестерина используется в диагностике и лечении заболеваний, при которых наблюдается повышенное содержание холестерина в крови, а также нарушений метаболизма липидов и </w:t>
            </w:r>
            <w:proofErr w:type="spellStart"/>
            <w:r w:rsidRPr="00AD1C54">
              <w:rPr>
                <w:sz w:val="16"/>
                <w:szCs w:val="16"/>
              </w:rPr>
              <w:t>липопротеинов</w:t>
            </w:r>
            <w:proofErr w:type="spellEnd"/>
            <w:r w:rsidRPr="00AD1C54">
              <w:rPr>
                <w:sz w:val="16"/>
                <w:szCs w:val="16"/>
              </w:rPr>
              <w:t xml:space="preserve">. Для автоматического биохимического анализатора ABX </w:t>
            </w:r>
            <w:proofErr w:type="spellStart"/>
            <w:r w:rsidRPr="00AD1C54">
              <w:rPr>
                <w:sz w:val="16"/>
                <w:szCs w:val="16"/>
              </w:rPr>
              <w:t>Pentra</w:t>
            </w:r>
            <w:proofErr w:type="spellEnd"/>
            <w:r w:rsidRPr="00AD1C54">
              <w:rPr>
                <w:sz w:val="16"/>
                <w:szCs w:val="16"/>
              </w:rPr>
              <w:t xml:space="preserve"> C400</w:t>
            </w:r>
          </w:p>
        </w:tc>
        <w:tc>
          <w:tcPr>
            <w:tcW w:w="992" w:type="dxa"/>
            <w:vAlign w:val="center"/>
          </w:tcPr>
          <w:p w:rsidR="00F94519" w:rsidRPr="00A3513A" w:rsidRDefault="00F94519" w:rsidP="009C1A85">
            <w:pPr>
              <w:jc w:val="center"/>
              <w:rPr>
                <w:sz w:val="20"/>
                <w:szCs w:val="20"/>
              </w:rPr>
            </w:pPr>
            <w:proofErr w:type="spellStart"/>
            <w:r w:rsidRPr="00A3513A">
              <w:rPr>
                <w:sz w:val="20"/>
                <w:szCs w:val="20"/>
              </w:rPr>
              <w:t>фл</w:t>
            </w:r>
            <w:proofErr w:type="spellEnd"/>
          </w:p>
        </w:tc>
        <w:tc>
          <w:tcPr>
            <w:tcW w:w="1134" w:type="dxa"/>
            <w:vAlign w:val="center"/>
          </w:tcPr>
          <w:p w:rsidR="00F94519" w:rsidRPr="00A3513A" w:rsidRDefault="00F94519" w:rsidP="009C1A85">
            <w:pPr>
              <w:jc w:val="center"/>
              <w:rPr>
                <w:sz w:val="20"/>
                <w:szCs w:val="20"/>
              </w:rPr>
            </w:pPr>
            <w:r w:rsidRPr="00A3513A">
              <w:rPr>
                <w:sz w:val="20"/>
                <w:szCs w:val="20"/>
              </w:rPr>
              <w:t>120</w:t>
            </w:r>
          </w:p>
        </w:tc>
        <w:tc>
          <w:tcPr>
            <w:tcW w:w="1134" w:type="dxa"/>
            <w:vAlign w:val="center"/>
          </w:tcPr>
          <w:p w:rsidR="00F94519" w:rsidRPr="00A3513A" w:rsidRDefault="00F94519" w:rsidP="009C1A85">
            <w:pPr>
              <w:jc w:val="center"/>
              <w:rPr>
                <w:sz w:val="20"/>
                <w:szCs w:val="20"/>
              </w:rPr>
            </w:pPr>
            <w:r w:rsidRPr="00A3513A">
              <w:rPr>
                <w:sz w:val="20"/>
                <w:szCs w:val="20"/>
              </w:rPr>
              <w:t>66 300</w:t>
            </w:r>
          </w:p>
        </w:tc>
        <w:tc>
          <w:tcPr>
            <w:tcW w:w="1559" w:type="dxa"/>
            <w:vAlign w:val="center"/>
          </w:tcPr>
          <w:p w:rsidR="00F94519" w:rsidRPr="00A3513A" w:rsidRDefault="00F94519" w:rsidP="009C1A85">
            <w:pPr>
              <w:jc w:val="center"/>
              <w:rPr>
                <w:b/>
                <w:bCs/>
                <w:sz w:val="20"/>
                <w:szCs w:val="20"/>
              </w:rPr>
            </w:pPr>
            <w:r w:rsidRPr="00A3513A">
              <w:rPr>
                <w:b/>
                <w:bCs/>
                <w:sz w:val="20"/>
                <w:szCs w:val="20"/>
              </w:rPr>
              <w:t>7 956 000</w:t>
            </w:r>
          </w:p>
        </w:tc>
      </w:tr>
      <w:tr w:rsidR="00F94519" w:rsidRPr="00876249" w:rsidTr="00F94519">
        <w:trPr>
          <w:trHeight w:val="1108"/>
        </w:trPr>
        <w:tc>
          <w:tcPr>
            <w:tcW w:w="567" w:type="dxa"/>
          </w:tcPr>
          <w:p w:rsidR="00F94519" w:rsidRDefault="00F94519" w:rsidP="009C1A85">
            <w:pPr>
              <w:pStyle w:val="a3"/>
              <w:rPr>
                <w:sz w:val="20"/>
                <w:szCs w:val="20"/>
                <w:lang w:val="kk-KZ"/>
              </w:rPr>
            </w:pPr>
            <w:r>
              <w:rPr>
                <w:sz w:val="20"/>
                <w:szCs w:val="20"/>
                <w:lang w:val="kk-KZ"/>
              </w:rPr>
              <w:t>7</w:t>
            </w:r>
          </w:p>
        </w:tc>
        <w:tc>
          <w:tcPr>
            <w:tcW w:w="1702" w:type="dxa"/>
            <w:vAlign w:val="center"/>
          </w:tcPr>
          <w:p w:rsidR="00F94519" w:rsidRPr="00AD1C54" w:rsidRDefault="00F94519" w:rsidP="009C1A85">
            <w:pPr>
              <w:rPr>
                <w:sz w:val="20"/>
                <w:szCs w:val="20"/>
              </w:rPr>
            </w:pPr>
            <w:r w:rsidRPr="00AD1C54">
              <w:rPr>
                <w:sz w:val="20"/>
                <w:szCs w:val="20"/>
              </w:rPr>
              <w:t xml:space="preserve">Билирубин общий </w:t>
            </w:r>
          </w:p>
        </w:tc>
        <w:tc>
          <w:tcPr>
            <w:tcW w:w="3402" w:type="dxa"/>
            <w:vAlign w:val="center"/>
          </w:tcPr>
          <w:p w:rsidR="00F94519" w:rsidRPr="00AD1C54" w:rsidRDefault="00F94519" w:rsidP="009C1A85">
            <w:pPr>
              <w:rPr>
                <w:sz w:val="16"/>
                <w:szCs w:val="16"/>
              </w:rPr>
            </w:pPr>
            <w:r w:rsidRPr="00AD1C54">
              <w:rPr>
                <w:sz w:val="16"/>
                <w:szCs w:val="16"/>
              </w:rPr>
              <w:t xml:space="preserve">Реагент предназначен для диагностического количественного определения </w:t>
            </w:r>
            <w:proofErr w:type="spellStart"/>
            <w:r w:rsidRPr="00AD1C54">
              <w:rPr>
                <w:sz w:val="16"/>
                <w:szCs w:val="16"/>
              </w:rPr>
              <w:t>in</w:t>
            </w:r>
            <w:proofErr w:type="spellEnd"/>
            <w:r w:rsidRPr="00AD1C54">
              <w:rPr>
                <w:sz w:val="16"/>
                <w:szCs w:val="16"/>
              </w:rPr>
              <w:t xml:space="preserve"> </w:t>
            </w:r>
            <w:proofErr w:type="spellStart"/>
            <w:r w:rsidRPr="00AD1C54">
              <w:rPr>
                <w:sz w:val="16"/>
                <w:szCs w:val="16"/>
              </w:rPr>
              <w:t>vitro</w:t>
            </w:r>
            <w:proofErr w:type="spellEnd"/>
            <w:r w:rsidRPr="00AD1C54">
              <w:rPr>
                <w:sz w:val="16"/>
                <w:szCs w:val="16"/>
              </w:rPr>
              <w:t xml:space="preserve"> общего билирубина в сыворотке и плазме крови человека с помощью фотометрии с использованием 2,4-дихлоранилина (ДХА) и детергентов. Уровни билирубина (прямого или общего), органического соединения, которое образуется при нормальном и патологическом разрушении эритроцитов, определяют для диагностики и лечения заболеваний печени, гемолитических заболеваний системы крови и метаболических нарушений, в том числе гепатита и закупорки желчных протоков. Реагент 1: Фосфатный буфер 50 </w:t>
            </w:r>
            <w:proofErr w:type="spellStart"/>
            <w:r w:rsidRPr="00AD1C54">
              <w:rPr>
                <w:sz w:val="16"/>
                <w:szCs w:val="16"/>
              </w:rPr>
              <w:t>ммоль</w:t>
            </w:r>
            <w:proofErr w:type="spellEnd"/>
            <w:r w:rsidRPr="00AD1C54">
              <w:rPr>
                <w:sz w:val="16"/>
                <w:szCs w:val="16"/>
              </w:rPr>
              <w:t xml:space="preserve">/Л </w:t>
            </w:r>
            <w:proofErr w:type="spellStart"/>
            <w:r w:rsidRPr="00AD1C54">
              <w:rPr>
                <w:sz w:val="16"/>
                <w:szCs w:val="16"/>
              </w:rPr>
              <w:t>NaCl</w:t>
            </w:r>
            <w:proofErr w:type="spellEnd"/>
            <w:r w:rsidRPr="00AD1C54">
              <w:rPr>
                <w:sz w:val="16"/>
                <w:szCs w:val="16"/>
              </w:rPr>
              <w:t xml:space="preserve"> 150 </w:t>
            </w:r>
            <w:proofErr w:type="spellStart"/>
            <w:r w:rsidRPr="00AD1C54">
              <w:rPr>
                <w:sz w:val="16"/>
                <w:szCs w:val="16"/>
              </w:rPr>
              <w:t>ммоль</w:t>
            </w:r>
            <w:proofErr w:type="spellEnd"/>
            <w:r w:rsidRPr="00AD1C54">
              <w:rPr>
                <w:sz w:val="16"/>
                <w:szCs w:val="16"/>
              </w:rPr>
              <w:t xml:space="preserve">/Л Детергенты, стабилизаторы Реагент 2: 2,4-дихлорфенил </w:t>
            </w:r>
            <w:proofErr w:type="spellStart"/>
            <w:r w:rsidRPr="00AD1C54">
              <w:rPr>
                <w:sz w:val="16"/>
                <w:szCs w:val="16"/>
              </w:rPr>
              <w:t>диазониевая</w:t>
            </w:r>
            <w:proofErr w:type="spellEnd"/>
            <w:r w:rsidRPr="00AD1C54">
              <w:rPr>
                <w:sz w:val="16"/>
                <w:szCs w:val="16"/>
              </w:rPr>
              <w:t xml:space="preserve"> соль 5 </w:t>
            </w:r>
            <w:proofErr w:type="spellStart"/>
            <w:r w:rsidRPr="00AD1C54">
              <w:rPr>
                <w:sz w:val="16"/>
                <w:szCs w:val="16"/>
              </w:rPr>
              <w:t>ммоль</w:t>
            </w:r>
            <w:proofErr w:type="spellEnd"/>
            <w:r w:rsidRPr="00AD1C54">
              <w:rPr>
                <w:sz w:val="16"/>
                <w:szCs w:val="16"/>
              </w:rPr>
              <w:t>/Л</w:t>
            </w:r>
            <w:r w:rsidRPr="00AD1C54">
              <w:rPr>
                <w:sz w:val="16"/>
                <w:szCs w:val="16"/>
              </w:rPr>
              <w:br/>
            </w:r>
            <w:proofErr w:type="spellStart"/>
            <w:r w:rsidRPr="00AD1C54">
              <w:rPr>
                <w:sz w:val="16"/>
                <w:szCs w:val="16"/>
              </w:rPr>
              <w:t>HCl</w:t>
            </w:r>
            <w:proofErr w:type="spellEnd"/>
            <w:r w:rsidRPr="00AD1C54">
              <w:rPr>
                <w:sz w:val="16"/>
                <w:szCs w:val="16"/>
              </w:rPr>
              <w:t xml:space="preserve"> 130 </w:t>
            </w:r>
            <w:proofErr w:type="spellStart"/>
            <w:r w:rsidRPr="00AD1C54">
              <w:rPr>
                <w:sz w:val="16"/>
                <w:szCs w:val="16"/>
              </w:rPr>
              <w:t>ммоль</w:t>
            </w:r>
            <w:proofErr w:type="spellEnd"/>
            <w:r w:rsidRPr="00AD1C54">
              <w:rPr>
                <w:sz w:val="16"/>
                <w:szCs w:val="16"/>
              </w:rPr>
              <w:t>/Л Детергент</w:t>
            </w:r>
            <w:proofErr w:type="gramStart"/>
            <w:r w:rsidRPr="00AD1C54">
              <w:rPr>
                <w:sz w:val="16"/>
                <w:szCs w:val="16"/>
              </w:rPr>
              <w:t xml:space="preserve"> Д</w:t>
            </w:r>
            <w:proofErr w:type="gramEnd"/>
            <w:r w:rsidRPr="00AD1C54">
              <w:rPr>
                <w:sz w:val="16"/>
                <w:szCs w:val="16"/>
              </w:rPr>
              <w:t xml:space="preserve">ля </w:t>
            </w:r>
            <w:r w:rsidRPr="00AD1C54">
              <w:rPr>
                <w:sz w:val="16"/>
                <w:szCs w:val="16"/>
              </w:rPr>
              <w:lastRenderedPageBreak/>
              <w:t xml:space="preserve">автоматического биохимического анализатора ABX </w:t>
            </w:r>
            <w:proofErr w:type="spellStart"/>
            <w:r w:rsidRPr="00AD1C54">
              <w:rPr>
                <w:sz w:val="16"/>
                <w:szCs w:val="16"/>
              </w:rPr>
              <w:t>Pentra</w:t>
            </w:r>
            <w:proofErr w:type="spellEnd"/>
            <w:r w:rsidRPr="00AD1C54">
              <w:rPr>
                <w:sz w:val="16"/>
                <w:szCs w:val="16"/>
              </w:rPr>
              <w:t xml:space="preserve"> C400</w:t>
            </w:r>
          </w:p>
        </w:tc>
        <w:tc>
          <w:tcPr>
            <w:tcW w:w="992" w:type="dxa"/>
            <w:vAlign w:val="center"/>
          </w:tcPr>
          <w:p w:rsidR="00F94519" w:rsidRPr="00A3513A" w:rsidRDefault="00F94519" w:rsidP="009C1A85">
            <w:pPr>
              <w:jc w:val="center"/>
              <w:rPr>
                <w:sz w:val="20"/>
                <w:szCs w:val="20"/>
              </w:rPr>
            </w:pPr>
            <w:proofErr w:type="spellStart"/>
            <w:r w:rsidRPr="00A3513A">
              <w:rPr>
                <w:sz w:val="20"/>
                <w:szCs w:val="20"/>
              </w:rPr>
              <w:lastRenderedPageBreak/>
              <w:t>фл</w:t>
            </w:r>
            <w:proofErr w:type="spellEnd"/>
          </w:p>
        </w:tc>
        <w:tc>
          <w:tcPr>
            <w:tcW w:w="1134" w:type="dxa"/>
            <w:vAlign w:val="center"/>
          </w:tcPr>
          <w:p w:rsidR="00F94519" w:rsidRPr="00A3513A" w:rsidRDefault="00F94519" w:rsidP="009C1A85">
            <w:pPr>
              <w:jc w:val="center"/>
              <w:rPr>
                <w:sz w:val="20"/>
                <w:szCs w:val="20"/>
              </w:rPr>
            </w:pPr>
            <w:r w:rsidRPr="00A3513A">
              <w:rPr>
                <w:sz w:val="20"/>
                <w:szCs w:val="20"/>
              </w:rPr>
              <w:t>600</w:t>
            </w:r>
          </w:p>
        </w:tc>
        <w:tc>
          <w:tcPr>
            <w:tcW w:w="1134" w:type="dxa"/>
            <w:vAlign w:val="center"/>
          </w:tcPr>
          <w:p w:rsidR="00F94519" w:rsidRPr="00A3513A" w:rsidRDefault="00F94519" w:rsidP="009C1A85">
            <w:pPr>
              <w:jc w:val="center"/>
              <w:rPr>
                <w:sz w:val="20"/>
                <w:szCs w:val="20"/>
              </w:rPr>
            </w:pPr>
            <w:r w:rsidRPr="00A3513A">
              <w:rPr>
                <w:sz w:val="20"/>
                <w:szCs w:val="20"/>
              </w:rPr>
              <w:t>14 750</w:t>
            </w:r>
          </w:p>
        </w:tc>
        <w:tc>
          <w:tcPr>
            <w:tcW w:w="1559" w:type="dxa"/>
            <w:vAlign w:val="center"/>
          </w:tcPr>
          <w:p w:rsidR="00F94519" w:rsidRPr="00A3513A" w:rsidRDefault="00F94519" w:rsidP="009C1A85">
            <w:pPr>
              <w:jc w:val="center"/>
              <w:rPr>
                <w:b/>
                <w:bCs/>
                <w:sz w:val="20"/>
                <w:szCs w:val="20"/>
              </w:rPr>
            </w:pPr>
            <w:r w:rsidRPr="00A3513A">
              <w:rPr>
                <w:b/>
                <w:bCs/>
                <w:sz w:val="20"/>
                <w:szCs w:val="20"/>
              </w:rPr>
              <w:t>8 850 000</w:t>
            </w:r>
          </w:p>
        </w:tc>
      </w:tr>
      <w:tr w:rsidR="00F94519" w:rsidRPr="00876249" w:rsidTr="00F94519">
        <w:trPr>
          <w:trHeight w:val="1108"/>
        </w:trPr>
        <w:tc>
          <w:tcPr>
            <w:tcW w:w="567" w:type="dxa"/>
          </w:tcPr>
          <w:p w:rsidR="00F94519" w:rsidRDefault="00F94519" w:rsidP="009C1A85">
            <w:pPr>
              <w:pStyle w:val="a3"/>
              <w:rPr>
                <w:sz w:val="20"/>
                <w:szCs w:val="20"/>
                <w:lang w:val="kk-KZ"/>
              </w:rPr>
            </w:pPr>
            <w:r>
              <w:rPr>
                <w:sz w:val="20"/>
                <w:szCs w:val="20"/>
                <w:lang w:val="kk-KZ"/>
              </w:rPr>
              <w:lastRenderedPageBreak/>
              <w:t>8</w:t>
            </w:r>
          </w:p>
        </w:tc>
        <w:tc>
          <w:tcPr>
            <w:tcW w:w="1702" w:type="dxa"/>
            <w:vAlign w:val="center"/>
          </w:tcPr>
          <w:p w:rsidR="00F94519" w:rsidRPr="00AD1C54" w:rsidRDefault="00F94519" w:rsidP="009C1A85">
            <w:pPr>
              <w:rPr>
                <w:color w:val="000000"/>
                <w:sz w:val="20"/>
                <w:szCs w:val="20"/>
              </w:rPr>
            </w:pPr>
            <w:r w:rsidRPr="00AD1C54">
              <w:rPr>
                <w:color w:val="000000"/>
                <w:sz w:val="20"/>
                <w:szCs w:val="20"/>
              </w:rPr>
              <w:t xml:space="preserve">Кюветы </w:t>
            </w:r>
          </w:p>
        </w:tc>
        <w:tc>
          <w:tcPr>
            <w:tcW w:w="3402" w:type="dxa"/>
            <w:vAlign w:val="bottom"/>
          </w:tcPr>
          <w:p w:rsidR="00F94519" w:rsidRPr="00AD1C54" w:rsidRDefault="00F94519" w:rsidP="009C1A85">
            <w:pPr>
              <w:rPr>
                <w:color w:val="000000"/>
                <w:sz w:val="16"/>
                <w:szCs w:val="16"/>
              </w:rPr>
            </w:pPr>
            <w:r w:rsidRPr="00AD1C54">
              <w:rPr>
                <w:color w:val="000000"/>
                <w:sz w:val="16"/>
                <w:szCs w:val="16"/>
              </w:rPr>
              <w:t xml:space="preserve">Кюветы для автоматического биохимического анализатора ABX </w:t>
            </w:r>
            <w:proofErr w:type="spellStart"/>
            <w:r w:rsidRPr="00AD1C54">
              <w:rPr>
                <w:color w:val="000000"/>
                <w:sz w:val="16"/>
                <w:szCs w:val="16"/>
              </w:rPr>
              <w:t>Pentra</w:t>
            </w:r>
            <w:proofErr w:type="spellEnd"/>
            <w:r w:rsidRPr="00AD1C54">
              <w:rPr>
                <w:color w:val="000000"/>
                <w:sz w:val="16"/>
                <w:szCs w:val="16"/>
              </w:rPr>
              <w:t xml:space="preserve"> C400</w:t>
            </w:r>
          </w:p>
        </w:tc>
        <w:tc>
          <w:tcPr>
            <w:tcW w:w="992" w:type="dxa"/>
            <w:vAlign w:val="center"/>
          </w:tcPr>
          <w:p w:rsidR="00F94519" w:rsidRPr="00A3513A" w:rsidRDefault="00F94519" w:rsidP="009C1A85">
            <w:pPr>
              <w:jc w:val="center"/>
              <w:rPr>
                <w:sz w:val="20"/>
                <w:szCs w:val="20"/>
              </w:rPr>
            </w:pPr>
            <w:proofErr w:type="spellStart"/>
            <w:r w:rsidRPr="00A3513A">
              <w:rPr>
                <w:sz w:val="20"/>
                <w:szCs w:val="20"/>
              </w:rPr>
              <w:t>упак</w:t>
            </w:r>
            <w:proofErr w:type="spellEnd"/>
          </w:p>
        </w:tc>
        <w:tc>
          <w:tcPr>
            <w:tcW w:w="1134" w:type="dxa"/>
            <w:vAlign w:val="center"/>
          </w:tcPr>
          <w:p w:rsidR="00F94519" w:rsidRPr="00A3513A" w:rsidRDefault="00F94519" w:rsidP="009C1A85">
            <w:pPr>
              <w:jc w:val="center"/>
              <w:rPr>
                <w:sz w:val="20"/>
                <w:szCs w:val="20"/>
              </w:rPr>
            </w:pPr>
            <w:r w:rsidRPr="00A3513A">
              <w:rPr>
                <w:sz w:val="20"/>
                <w:szCs w:val="20"/>
              </w:rPr>
              <w:t>130</w:t>
            </w:r>
          </w:p>
        </w:tc>
        <w:tc>
          <w:tcPr>
            <w:tcW w:w="1134" w:type="dxa"/>
            <w:vAlign w:val="center"/>
          </w:tcPr>
          <w:p w:rsidR="00F94519" w:rsidRPr="00A3513A" w:rsidRDefault="00F94519" w:rsidP="009C1A85">
            <w:pPr>
              <w:jc w:val="center"/>
              <w:rPr>
                <w:sz w:val="20"/>
                <w:szCs w:val="20"/>
              </w:rPr>
            </w:pPr>
            <w:r w:rsidRPr="00A3513A">
              <w:rPr>
                <w:sz w:val="20"/>
                <w:szCs w:val="20"/>
              </w:rPr>
              <w:t>241 750</w:t>
            </w:r>
          </w:p>
        </w:tc>
        <w:tc>
          <w:tcPr>
            <w:tcW w:w="1559" w:type="dxa"/>
            <w:vAlign w:val="center"/>
          </w:tcPr>
          <w:p w:rsidR="00F94519" w:rsidRPr="00A3513A" w:rsidRDefault="00F94519" w:rsidP="009C1A85">
            <w:pPr>
              <w:jc w:val="center"/>
              <w:rPr>
                <w:b/>
                <w:bCs/>
                <w:sz w:val="20"/>
                <w:szCs w:val="20"/>
              </w:rPr>
            </w:pPr>
            <w:r w:rsidRPr="00A3513A">
              <w:rPr>
                <w:b/>
                <w:bCs/>
                <w:sz w:val="20"/>
                <w:szCs w:val="20"/>
              </w:rPr>
              <w:t>31 427 500</w:t>
            </w:r>
          </w:p>
        </w:tc>
      </w:tr>
      <w:tr w:rsidR="00F94519" w:rsidRPr="00876249" w:rsidTr="00F94519">
        <w:trPr>
          <w:trHeight w:val="1108"/>
        </w:trPr>
        <w:tc>
          <w:tcPr>
            <w:tcW w:w="567" w:type="dxa"/>
          </w:tcPr>
          <w:p w:rsidR="00F94519" w:rsidRDefault="00F94519" w:rsidP="009C1A85">
            <w:pPr>
              <w:pStyle w:val="a3"/>
              <w:rPr>
                <w:sz w:val="20"/>
                <w:szCs w:val="20"/>
                <w:lang w:val="kk-KZ"/>
              </w:rPr>
            </w:pPr>
            <w:r>
              <w:rPr>
                <w:sz w:val="20"/>
                <w:szCs w:val="20"/>
                <w:lang w:val="kk-KZ"/>
              </w:rPr>
              <w:t>9</w:t>
            </w:r>
          </w:p>
        </w:tc>
        <w:tc>
          <w:tcPr>
            <w:tcW w:w="1702" w:type="dxa"/>
            <w:vAlign w:val="center"/>
          </w:tcPr>
          <w:p w:rsidR="00F94519" w:rsidRPr="00AD1C54" w:rsidRDefault="00F94519" w:rsidP="009C1A85">
            <w:pPr>
              <w:rPr>
                <w:sz w:val="20"/>
                <w:szCs w:val="20"/>
              </w:rPr>
            </w:pPr>
            <w:r w:rsidRPr="00AD1C54">
              <w:rPr>
                <w:sz w:val="20"/>
                <w:szCs w:val="20"/>
              </w:rPr>
              <w:t xml:space="preserve">Протромбин </w:t>
            </w:r>
          </w:p>
        </w:tc>
        <w:tc>
          <w:tcPr>
            <w:tcW w:w="3402" w:type="dxa"/>
            <w:vAlign w:val="bottom"/>
          </w:tcPr>
          <w:p w:rsidR="00F94519" w:rsidRPr="00AD1C54" w:rsidRDefault="00F94519" w:rsidP="009C1A85">
            <w:pPr>
              <w:rPr>
                <w:color w:val="000000"/>
                <w:sz w:val="16"/>
                <w:szCs w:val="16"/>
              </w:rPr>
            </w:pPr>
            <w:r w:rsidRPr="00AD1C54">
              <w:rPr>
                <w:color w:val="000000"/>
                <w:sz w:val="16"/>
                <w:szCs w:val="16"/>
              </w:rPr>
              <w:t xml:space="preserve">Протромбин тест представляет собой </w:t>
            </w:r>
            <w:proofErr w:type="spellStart"/>
            <w:r w:rsidRPr="00AD1C54">
              <w:rPr>
                <w:color w:val="000000"/>
                <w:sz w:val="16"/>
                <w:szCs w:val="16"/>
              </w:rPr>
              <w:t>рекомбинантный</w:t>
            </w:r>
            <w:proofErr w:type="spellEnd"/>
            <w:r w:rsidRPr="00AD1C54">
              <w:rPr>
                <w:color w:val="000000"/>
                <w:sz w:val="16"/>
                <w:szCs w:val="16"/>
              </w:rPr>
              <w:t xml:space="preserve"> </w:t>
            </w:r>
            <w:proofErr w:type="spellStart"/>
            <w:r w:rsidRPr="00AD1C54">
              <w:rPr>
                <w:color w:val="000000"/>
                <w:sz w:val="16"/>
                <w:szCs w:val="16"/>
              </w:rPr>
              <w:t>тромбопластин</w:t>
            </w:r>
            <w:proofErr w:type="spellEnd"/>
            <w:r w:rsidRPr="00AD1C54">
              <w:rPr>
                <w:color w:val="000000"/>
                <w:sz w:val="16"/>
                <w:szCs w:val="16"/>
              </w:rPr>
              <w:t xml:space="preserve"> человека, который содержит </w:t>
            </w:r>
            <w:proofErr w:type="spellStart"/>
            <w:r w:rsidRPr="00AD1C54">
              <w:rPr>
                <w:color w:val="000000"/>
                <w:sz w:val="16"/>
                <w:szCs w:val="16"/>
              </w:rPr>
              <w:t>рекомбинантный</w:t>
            </w:r>
            <w:proofErr w:type="spellEnd"/>
            <w:r w:rsidRPr="00AD1C54">
              <w:rPr>
                <w:color w:val="000000"/>
                <w:sz w:val="16"/>
                <w:szCs w:val="16"/>
              </w:rPr>
              <w:t xml:space="preserve"> тканевый фактор человека, липиды и ионы кальция. Тест на определение ПВ в соответствии с режиме "</w:t>
            </w:r>
            <w:proofErr w:type="spellStart"/>
            <w:r w:rsidRPr="00AD1C54">
              <w:rPr>
                <w:color w:val="000000"/>
                <w:sz w:val="16"/>
                <w:szCs w:val="16"/>
              </w:rPr>
              <w:t>Quick</w:t>
            </w:r>
            <w:proofErr w:type="spellEnd"/>
            <w:r w:rsidRPr="00AD1C54">
              <w:rPr>
                <w:color w:val="000000"/>
                <w:sz w:val="16"/>
                <w:szCs w:val="16"/>
              </w:rPr>
              <w:t xml:space="preserve">" является точным </w:t>
            </w:r>
            <w:proofErr w:type="spellStart"/>
            <w:r w:rsidRPr="00AD1C54">
              <w:rPr>
                <w:color w:val="000000"/>
                <w:sz w:val="16"/>
                <w:szCs w:val="16"/>
              </w:rPr>
              <w:t>скрининговым</w:t>
            </w:r>
            <w:proofErr w:type="spellEnd"/>
            <w:r w:rsidRPr="00AD1C54">
              <w:rPr>
                <w:color w:val="000000"/>
                <w:sz w:val="16"/>
                <w:szCs w:val="16"/>
              </w:rPr>
              <w:t xml:space="preserve"> тестом для внешней системы коагуляции. очень чувствителен к антагонистам витамина</w:t>
            </w:r>
            <w:proofErr w:type="gramStart"/>
            <w:r w:rsidRPr="00AD1C54">
              <w:rPr>
                <w:color w:val="000000"/>
                <w:sz w:val="16"/>
                <w:szCs w:val="16"/>
              </w:rPr>
              <w:t xml:space="preserve"> К</w:t>
            </w:r>
            <w:proofErr w:type="gramEnd"/>
            <w:r w:rsidRPr="00AD1C54">
              <w:rPr>
                <w:color w:val="000000"/>
                <w:sz w:val="16"/>
                <w:szCs w:val="16"/>
              </w:rPr>
              <w:t xml:space="preserve">, сниженному уровню факторов по внешнему пути (фактор II, V, VII и X), наследственным или приобретенным нарушениям свертывания крови и печеночной недостаточности. Таким образом, ПВ реагентом оптимально используется для предварительного хирургического скрининга и мониторинга </w:t>
            </w:r>
            <w:proofErr w:type="spellStart"/>
            <w:r w:rsidRPr="00AD1C54">
              <w:rPr>
                <w:color w:val="000000"/>
                <w:sz w:val="16"/>
                <w:szCs w:val="16"/>
              </w:rPr>
              <w:t>пероральной</w:t>
            </w:r>
            <w:proofErr w:type="spellEnd"/>
            <w:r w:rsidRPr="00AD1C54">
              <w:rPr>
                <w:color w:val="000000"/>
                <w:sz w:val="16"/>
                <w:szCs w:val="16"/>
              </w:rPr>
              <w:t xml:space="preserve"> </w:t>
            </w:r>
            <w:proofErr w:type="spellStart"/>
            <w:r w:rsidRPr="00AD1C54">
              <w:rPr>
                <w:color w:val="000000"/>
                <w:sz w:val="16"/>
                <w:szCs w:val="16"/>
              </w:rPr>
              <w:t>антикоагулянтной</w:t>
            </w:r>
            <w:proofErr w:type="spellEnd"/>
            <w:r w:rsidRPr="00AD1C54">
              <w:rPr>
                <w:color w:val="000000"/>
                <w:sz w:val="16"/>
                <w:szCs w:val="16"/>
              </w:rPr>
              <w:t xml:space="preserve"> терапии (ПАТ). Реагент с соответствующим количеством дефицитной плазмой также подходит для определения активности внешнего пути коагуляции. Кроме того, реагент имеет повышенную чувствительность к определенным факторам, таким как фактор VII, из-за этих характеристик в некоторых случаях он может вызвать длительную коагуляцию по сравнению с </w:t>
            </w:r>
            <w:proofErr w:type="spellStart"/>
            <w:r w:rsidRPr="00AD1C54">
              <w:rPr>
                <w:color w:val="000000"/>
                <w:sz w:val="16"/>
                <w:szCs w:val="16"/>
              </w:rPr>
              <w:t>тромбопластинами</w:t>
            </w:r>
            <w:proofErr w:type="spellEnd"/>
            <w:r w:rsidRPr="00AD1C54">
              <w:rPr>
                <w:color w:val="000000"/>
                <w:sz w:val="16"/>
                <w:szCs w:val="16"/>
              </w:rPr>
              <w:t xml:space="preserve"> их экстрактов ткани. Для полуавтоматического </w:t>
            </w:r>
            <w:proofErr w:type="spellStart"/>
            <w:r w:rsidRPr="00AD1C54">
              <w:rPr>
                <w:color w:val="000000"/>
                <w:sz w:val="16"/>
                <w:szCs w:val="16"/>
              </w:rPr>
              <w:t>коагулометра</w:t>
            </w:r>
            <w:proofErr w:type="spellEnd"/>
            <w:r w:rsidRPr="00AD1C54">
              <w:rPr>
                <w:color w:val="000000"/>
                <w:sz w:val="16"/>
                <w:szCs w:val="16"/>
              </w:rPr>
              <w:t xml:space="preserve"> </w:t>
            </w:r>
            <w:proofErr w:type="spellStart"/>
            <w:r w:rsidRPr="00AD1C54">
              <w:rPr>
                <w:color w:val="000000"/>
                <w:sz w:val="16"/>
                <w:szCs w:val="16"/>
              </w:rPr>
              <w:t>Yumizen</w:t>
            </w:r>
            <w:proofErr w:type="spellEnd"/>
            <w:r w:rsidRPr="00AD1C54">
              <w:rPr>
                <w:color w:val="000000"/>
                <w:sz w:val="16"/>
                <w:szCs w:val="16"/>
              </w:rPr>
              <w:t xml:space="preserve"> G400</w:t>
            </w:r>
          </w:p>
        </w:tc>
        <w:tc>
          <w:tcPr>
            <w:tcW w:w="992" w:type="dxa"/>
            <w:vAlign w:val="center"/>
          </w:tcPr>
          <w:p w:rsidR="00F94519" w:rsidRPr="00A3513A" w:rsidRDefault="00F94519" w:rsidP="009C1A85">
            <w:pPr>
              <w:jc w:val="center"/>
              <w:rPr>
                <w:sz w:val="20"/>
                <w:szCs w:val="20"/>
              </w:rPr>
            </w:pPr>
            <w:r w:rsidRPr="00A3513A">
              <w:rPr>
                <w:sz w:val="20"/>
                <w:szCs w:val="20"/>
              </w:rPr>
              <w:t>набор</w:t>
            </w:r>
          </w:p>
        </w:tc>
        <w:tc>
          <w:tcPr>
            <w:tcW w:w="1134" w:type="dxa"/>
            <w:vAlign w:val="center"/>
          </w:tcPr>
          <w:p w:rsidR="00F94519" w:rsidRPr="00A3513A" w:rsidRDefault="00F94519" w:rsidP="009C1A85">
            <w:pPr>
              <w:jc w:val="center"/>
              <w:rPr>
                <w:sz w:val="20"/>
                <w:szCs w:val="20"/>
              </w:rPr>
            </w:pPr>
            <w:r w:rsidRPr="00A3513A">
              <w:rPr>
                <w:sz w:val="20"/>
                <w:szCs w:val="20"/>
              </w:rPr>
              <w:t>50</w:t>
            </w:r>
          </w:p>
        </w:tc>
        <w:tc>
          <w:tcPr>
            <w:tcW w:w="1134" w:type="dxa"/>
            <w:vAlign w:val="center"/>
          </w:tcPr>
          <w:p w:rsidR="00F94519" w:rsidRPr="00A3513A" w:rsidRDefault="00F94519" w:rsidP="009C1A85">
            <w:pPr>
              <w:jc w:val="center"/>
              <w:rPr>
                <w:sz w:val="20"/>
                <w:szCs w:val="20"/>
              </w:rPr>
            </w:pPr>
            <w:r w:rsidRPr="00A3513A">
              <w:rPr>
                <w:sz w:val="20"/>
                <w:szCs w:val="20"/>
              </w:rPr>
              <w:t>171 750</w:t>
            </w:r>
          </w:p>
        </w:tc>
        <w:tc>
          <w:tcPr>
            <w:tcW w:w="1559" w:type="dxa"/>
            <w:vAlign w:val="center"/>
          </w:tcPr>
          <w:p w:rsidR="00F94519" w:rsidRPr="00A3513A" w:rsidRDefault="00F94519" w:rsidP="009C1A85">
            <w:pPr>
              <w:jc w:val="center"/>
              <w:rPr>
                <w:b/>
                <w:bCs/>
                <w:sz w:val="20"/>
                <w:szCs w:val="20"/>
              </w:rPr>
            </w:pPr>
            <w:r w:rsidRPr="00A3513A">
              <w:rPr>
                <w:b/>
                <w:bCs/>
                <w:sz w:val="20"/>
                <w:szCs w:val="20"/>
              </w:rPr>
              <w:t>8 587 500</w:t>
            </w:r>
          </w:p>
        </w:tc>
      </w:tr>
      <w:tr w:rsidR="00F94519" w:rsidRPr="00876249" w:rsidTr="00F94519">
        <w:trPr>
          <w:trHeight w:val="1108"/>
        </w:trPr>
        <w:tc>
          <w:tcPr>
            <w:tcW w:w="567" w:type="dxa"/>
          </w:tcPr>
          <w:p w:rsidR="00F94519" w:rsidRDefault="00F94519" w:rsidP="009C1A85">
            <w:pPr>
              <w:pStyle w:val="a3"/>
              <w:rPr>
                <w:sz w:val="20"/>
                <w:szCs w:val="20"/>
                <w:lang w:val="kk-KZ"/>
              </w:rPr>
            </w:pPr>
            <w:r>
              <w:rPr>
                <w:sz w:val="20"/>
                <w:szCs w:val="20"/>
                <w:lang w:val="kk-KZ"/>
              </w:rPr>
              <w:t>10</w:t>
            </w:r>
          </w:p>
        </w:tc>
        <w:tc>
          <w:tcPr>
            <w:tcW w:w="1702" w:type="dxa"/>
            <w:vAlign w:val="center"/>
          </w:tcPr>
          <w:p w:rsidR="00F94519" w:rsidRPr="00AD1C54" w:rsidRDefault="00F94519" w:rsidP="009C1A85">
            <w:pPr>
              <w:rPr>
                <w:sz w:val="20"/>
                <w:szCs w:val="20"/>
              </w:rPr>
            </w:pPr>
            <w:proofErr w:type="spellStart"/>
            <w:r w:rsidRPr="00AD1C54">
              <w:rPr>
                <w:sz w:val="20"/>
                <w:szCs w:val="20"/>
              </w:rPr>
              <w:t>Прокальцитонин</w:t>
            </w:r>
            <w:proofErr w:type="spellEnd"/>
          </w:p>
        </w:tc>
        <w:tc>
          <w:tcPr>
            <w:tcW w:w="3402" w:type="dxa"/>
            <w:vAlign w:val="bottom"/>
          </w:tcPr>
          <w:p w:rsidR="00F94519" w:rsidRPr="00AD1C54" w:rsidRDefault="00F94519" w:rsidP="009C1A85">
            <w:pPr>
              <w:rPr>
                <w:color w:val="000000"/>
                <w:sz w:val="16"/>
                <w:szCs w:val="16"/>
              </w:rPr>
            </w:pPr>
            <w:proofErr w:type="spellStart"/>
            <w:r w:rsidRPr="00AD1C54">
              <w:rPr>
                <w:color w:val="000000"/>
                <w:sz w:val="16"/>
                <w:szCs w:val="16"/>
              </w:rPr>
              <w:t>Прокальцитонин-тест</w:t>
            </w:r>
            <w:proofErr w:type="spellEnd"/>
            <w:r w:rsidRPr="00AD1C54">
              <w:rPr>
                <w:color w:val="000000"/>
                <w:sz w:val="16"/>
                <w:szCs w:val="16"/>
              </w:rPr>
              <w:t xml:space="preserve"> является количественным быстрым </w:t>
            </w:r>
            <w:proofErr w:type="spellStart"/>
            <w:proofErr w:type="gramStart"/>
            <w:r w:rsidRPr="00AD1C54">
              <w:rPr>
                <w:color w:val="000000"/>
                <w:sz w:val="16"/>
                <w:szCs w:val="16"/>
              </w:rPr>
              <w:t>скрининг-тестом</w:t>
            </w:r>
            <w:proofErr w:type="spellEnd"/>
            <w:proofErr w:type="gramEnd"/>
            <w:r w:rsidRPr="00AD1C54">
              <w:rPr>
                <w:color w:val="000000"/>
                <w:sz w:val="16"/>
                <w:szCs w:val="16"/>
              </w:rPr>
              <w:t xml:space="preserve"> для выявления PCT в образцах сыворотки, плазмы и цельной крови. В методе используется уникальная комбинация </w:t>
            </w:r>
            <w:proofErr w:type="spellStart"/>
            <w:r w:rsidRPr="00AD1C54">
              <w:rPr>
                <w:color w:val="000000"/>
                <w:sz w:val="16"/>
                <w:szCs w:val="16"/>
              </w:rPr>
              <w:t>моноклонально-красочного</w:t>
            </w:r>
            <w:proofErr w:type="spellEnd"/>
            <w:r w:rsidRPr="00AD1C54">
              <w:rPr>
                <w:color w:val="000000"/>
                <w:sz w:val="16"/>
                <w:szCs w:val="16"/>
              </w:rPr>
              <w:t xml:space="preserve"> </w:t>
            </w:r>
            <w:proofErr w:type="spellStart"/>
            <w:r w:rsidRPr="00AD1C54">
              <w:rPr>
                <w:color w:val="000000"/>
                <w:sz w:val="16"/>
                <w:szCs w:val="16"/>
              </w:rPr>
              <w:t>конъюгата</w:t>
            </w:r>
            <w:proofErr w:type="spellEnd"/>
            <w:r w:rsidRPr="00AD1C54">
              <w:rPr>
                <w:color w:val="000000"/>
                <w:sz w:val="16"/>
                <w:szCs w:val="16"/>
              </w:rPr>
              <w:t xml:space="preserve"> и </w:t>
            </w:r>
            <w:proofErr w:type="spellStart"/>
            <w:r w:rsidRPr="00AD1C54">
              <w:rPr>
                <w:color w:val="000000"/>
                <w:sz w:val="16"/>
                <w:szCs w:val="16"/>
              </w:rPr>
              <w:t>моноклонально-твердофазных</w:t>
            </w:r>
            <w:proofErr w:type="spellEnd"/>
            <w:r w:rsidRPr="00AD1C54">
              <w:rPr>
                <w:color w:val="000000"/>
                <w:sz w:val="16"/>
                <w:szCs w:val="16"/>
              </w:rPr>
              <w:t xml:space="preserve"> антител для идентификации PCT в тестовых образцах с высокой степенью специфичности. II- КОМПОНЕНТЫ КОМПЛЕКТА</w:t>
            </w:r>
            <w:proofErr w:type="gramStart"/>
            <w:r w:rsidRPr="00AD1C54">
              <w:rPr>
                <w:color w:val="000000"/>
                <w:sz w:val="16"/>
                <w:szCs w:val="16"/>
              </w:rPr>
              <w:t xml:space="preserve"> К</w:t>
            </w:r>
            <w:proofErr w:type="gramEnd"/>
            <w:r w:rsidRPr="00AD1C54">
              <w:rPr>
                <w:color w:val="000000"/>
                <w:sz w:val="16"/>
                <w:szCs w:val="16"/>
              </w:rPr>
              <w:t xml:space="preserve">аждый набор содержит все необходимое для проведения  20 тестов. 1- Реакционные устройства: 20 2- Одноразовые пластиковые пипетки:  20 3- Разбавитель в бутылке для капельниц: 5 мл 4- Брошюра с инструкциями: 1 5- Управление (опционально): Положительный контроль. V0330 и отрицательный контроль ссылка. V0331: сублимированный препарат не инфекционного соединения в разбавленной человеческой сыворотке, протестированный и признанный отрицательным на антиген против ВИЧ, </w:t>
            </w:r>
            <w:proofErr w:type="spellStart"/>
            <w:r w:rsidRPr="00AD1C54">
              <w:rPr>
                <w:color w:val="000000"/>
                <w:sz w:val="16"/>
                <w:szCs w:val="16"/>
              </w:rPr>
              <w:t>анти-</w:t>
            </w:r>
            <w:proofErr w:type="gramStart"/>
            <w:r w:rsidRPr="00AD1C54">
              <w:rPr>
                <w:color w:val="000000"/>
                <w:sz w:val="16"/>
                <w:szCs w:val="16"/>
              </w:rPr>
              <w:t>HCV</w:t>
            </w:r>
            <w:proofErr w:type="spellEnd"/>
            <w:proofErr w:type="gramEnd"/>
            <w:r w:rsidRPr="00AD1C54">
              <w:rPr>
                <w:color w:val="000000"/>
                <w:sz w:val="16"/>
                <w:szCs w:val="16"/>
              </w:rPr>
              <w:t xml:space="preserve"> и </w:t>
            </w:r>
            <w:proofErr w:type="spellStart"/>
            <w:r w:rsidRPr="00AD1C54">
              <w:rPr>
                <w:color w:val="000000"/>
                <w:sz w:val="16"/>
                <w:szCs w:val="16"/>
              </w:rPr>
              <w:t>HBs</w:t>
            </w:r>
            <w:proofErr w:type="spellEnd"/>
            <w:r w:rsidRPr="00AD1C54">
              <w:rPr>
                <w:color w:val="000000"/>
                <w:sz w:val="16"/>
                <w:szCs w:val="16"/>
              </w:rPr>
              <w:t>, содержащий 0,05 % азида натрия, опционально доступен в качестве положительного и отрицательного контроля (1х0,25 мл). Диапазон концентрации указан на этикетке флакона.</w:t>
            </w:r>
            <w:r w:rsidRPr="00AD1C54">
              <w:rPr>
                <w:color w:val="000000"/>
                <w:sz w:val="16"/>
                <w:szCs w:val="16"/>
              </w:rPr>
              <w:br/>
            </w:r>
            <w:proofErr w:type="gramStart"/>
            <w:r w:rsidRPr="00AD1C54">
              <w:rPr>
                <w:color w:val="000000"/>
                <w:sz w:val="16"/>
                <w:szCs w:val="16"/>
              </w:rPr>
              <w:t>III- ХРАНЕНИЕ И СТАБИЛЬНОСТЬ 1- Все компоненты комплекта должны храниться при комнатной температуре (от +4°C до +30°C) в герметичном чехле.</w:t>
            </w:r>
            <w:r w:rsidRPr="00AD1C54">
              <w:rPr>
                <w:color w:val="000000"/>
                <w:sz w:val="16"/>
                <w:szCs w:val="16"/>
              </w:rPr>
              <w:br/>
              <w:t>2- Не замораживайте комплект.</w:t>
            </w:r>
            <w:r w:rsidRPr="00AD1C54">
              <w:rPr>
                <w:color w:val="000000"/>
                <w:sz w:val="16"/>
                <w:szCs w:val="16"/>
              </w:rPr>
              <w:br/>
              <w:t>3- Набор стабилен до истечения срока годности, указанного на этикетке упаковки.</w:t>
            </w:r>
            <w:r w:rsidRPr="00AD1C54">
              <w:rPr>
                <w:color w:val="000000"/>
                <w:sz w:val="16"/>
                <w:szCs w:val="16"/>
              </w:rPr>
              <w:br/>
              <w:t>4- Контрольные флаконы стабильны в течение 7 дней при хранении при температуре от +2°C до +8°C после восстановления.</w:t>
            </w:r>
            <w:proofErr w:type="gramEnd"/>
            <w:r w:rsidRPr="00AD1C54">
              <w:rPr>
                <w:color w:val="000000"/>
                <w:sz w:val="16"/>
                <w:szCs w:val="16"/>
              </w:rPr>
              <w:t xml:space="preserve"> Экспресс тест для </w:t>
            </w:r>
            <w:proofErr w:type="spellStart"/>
            <w:r w:rsidRPr="00AD1C54">
              <w:rPr>
                <w:color w:val="000000"/>
                <w:sz w:val="16"/>
                <w:szCs w:val="16"/>
              </w:rPr>
              <w:t>иммунохроматографического</w:t>
            </w:r>
            <w:proofErr w:type="spellEnd"/>
            <w:r w:rsidRPr="00AD1C54">
              <w:rPr>
                <w:color w:val="000000"/>
                <w:sz w:val="16"/>
                <w:szCs w:val="16"/>
              </w:rPr>
              <w:t xml:space="preserve"> анализатора </w:t>
            </w:r>
            <w:proofErr w:type="spellStart"/>
            <w:r w:rsidRPr="00AD1C54">
              <w:rPr>
                <w:color w:val="000000"/>
                <w:sz w:val="16"/>
                <w:szCs w:val="16"/>
              </w:rPr>
              <w:t>Easy</w:t>
            </w:r>
            <w:proofErr w:type="spellEnd"/>
            <w:r w:rsidRPr="00AD1C54">
              <w:rPr>
                <w:color w:val="000000"/>
                <w:sz w:val="16"/>
                <w:szCs w:val="16"/>
              </w:rPr>
              <w:t xml:space="preserve"> </w:t>
            </w:r>
            <w:proofErr w:type="spellStart"/>
            <w:r w:rsidRPr="00AD1C54">
              <w:rPr>
                <w:color w:val="000000"/>
                <w:sz w:val="16"/>
                <w:szCs w:val="16"/>
              </w:rPr>
              <w:t>R</w:t>
            </w:r>
            <w:proofErr w:type="gramStart"/>
            <w:r w:rsidRPr="00AD1C54">
              <w:rPr>
                <w:color w:val="000000"/>
                <w:sz w:val="16"/>
                <w:szCs w:val="16"/>
              </w:rPr>
              <w:t>еа</w:t>
            </w:r>
            <w:proofErr w:type="gramEnd"/>
            <w:r w:rsidRPr="00AD1C54">
              <w:rPr>
                <w:color w:val="000000"/>
                <w:sz w:val="16"/>
                <w:szCs w:val="16"/>
              </w:rPr>
              <w:t>der+</w:t>
            </w:r>
            <w:proofErr w:type="spellEnd"/>
          </w:p>
        </w:tc>
        <w:tc>
          <w:tcPr>
            <w:tcW w:w="992" w:type="dxa"/>
            <w:vAlign w:val="center"/>
          </w:tcPr>
          <w:p w:rsidR="00F94519" w:rsidRPr="00A3513A" w:rsidRDefault="00F94519" w:rsidP="009C1A85">
            <w:pPr>
              <w:jc w:val="center"/>
              <w:rPr>
                <w:sz w:val="20"/>
                <w:szCs w:val="20"/>
              </w:rPr>
            </w:pPr>
            <w:proofErr w:type="spellStart"/>
            <w:r w:rsidRPr="00A3513A">
              <w:rPr>
                <w:sz w:val="20"/>
                <w:szCs w:val="20"/>
              </w:rPr>
              <w:t>упак</w:t>
            </w:r>
            <w:proofErr w:type="spellEnd"/>
          </w:p>
        </w:tc>
        <w:tc>
          <w:tcPr>
            <w:tcW w:w="1134" w:type="dxa"/>
            <w:vAlign w:val="center"/>
          </w:tcPr>
          <w:p w:rsidR="00F94519" w:rsidRPr="00A3513A" w:rsidRDefault="00F94519" w:rsidP="009C1A85">
            <w:pPr>
              <w:jc w:val="center"/>
              <w:rPr>
                <w:sz w:val="20"/>
                <w:szCs w:val="20"/>
              </w:rPr>
            </w:pPr>
            <w:r w:rsidRPr="00A3513A">
              <w:rPr>
                <w:sz w:val="20"/>
                <w:szCs w:val="20"/>
              </w:rPr>
              <w:t>150</w:t>
            </w:r>
          </w:p>
        </w:tc>
        <w:tc>
          <w:tcPr>
            <w:tcW w:w="1134" w:type="dxa"/>
            <w:vAlign w:val="center"/>
          </w:tcPr>
          <w:p w:rsidR="00F94519" w:rsidRPr="00A3513A" w:rsidRDefault="00F94519" w:rsidP="009C1A85">
            <w:pPr>
              <w:jc w:val="center"/>
              <w:rPr>
                <w:sz w:val="20"/>
                <w:szCs w:val="20"/>
              </w:rPr>
            </w:pPr>
            <w:r w:rsidRPr="00A3513A">
              <w:rPr>
                <w:sz w:val="20"/>
                <w:szCs w:val="20"/>
              </w:rPr>
              <w:t>101 750</w:t>
            </w:r>
          </w:p>
        </w:tc>
        <w:tc>
          <w:tcPr>
            <w:tcW w:w="1559" w:type="dxa"/>
            <w:vAlign w:val="center"/>
          </w:tcPr>
          <w:p w:rsidR="00F94519" w:rsidRPr="00A3513A" w:rsidRDefault="00F94519" w:rsidP="009C1A85">
            <w:pPr>
              <w:jc w:val="center"/>
              <w:rPr>
                <w:b/>
                <w:bCs/>
                <w:sz w:val="20"/>
                <w:szCs w:val="20"/>
              </w:rPr>
            </w:pPr>
            <w:r w:rsidRPr="00A3513A">
              <w:rPr>
                <w:b/>
                <w:bCs/>
                <w:sz w:val="20"/>
                <w:szCs w:val="20"/>
              </w:rPr>
              <w:t>15 262 500</w:t>
            </w:r>
          </w:p>
        </w:tc>
      </w:tr>
      <w:tr w:rsidR="00F94519" w:rsidRPr="00876249" w:rsidTr="00F94519">
        <w:trPr>
          <w:trHeight w:val="1108"/>
        </w:trPr>
        <w:tc>
          <w:tcPr>
            <w:tcW w:w="567" w:type="dxa"/>
          </w:tcPr>
          <w:p w:rsidR="00F94519" w:rsidRDefault="00F94519" w:rsidP="009C1A85">
            <w:pPr>
              <w:pStyle w:val="a3"/>
              <w:rPr>
                <w:sz w:val="20"/>
                <w:szCs w:val="20"/>
                <w:lang w:val="kk-KZ"/>
              </w:rPr>
            </w:pPr>
            <w:r>
              <w:rPr>
                <w:sz w:val="20"/>
                <w:szCs w:val="20"/>
                <w:lang w:val="kk-KZ"/>
              </w:rPr>
              <w:lastRenderedPageBreak/>
              <w:t>11</w:t>
            </w:r>
          </w:p>
        </w:tc>
        <w:tc>
          <w:tcPr>
            <w:tcW w:w="1702" w:type="dxa"/>
            <w:vAlign w:val="center"/>
          </w:tcPr>
          <w:p w:rsidR="00F94519" w:rsidRPr="00AD1C54" w:rsidRDefault="00F94519" w:rsidP="009C1A85">
            <w:pPr>
              <w:rPr>
                <w:sz w:val="20"/>
                <w:szCs w:val="20"/>
              </w:rPr>
            </w:pPr>
            <w:proofErr w:type="spellStart"/>
            <w:r w:rsidRPr="00AD1C54">
              <w:rPr>
                <w:sz w:val="20"/>
                <w:szCs w:val="20"/>
              </w:rPr>
              <w:t>Тропонин</w:t>
            </w:r>
            <w:proofErr w:type="spellEnd"/>
            <w:r w:rsidRPr="00AD1C54">
              <w:rPr>
                <w:sz w:val="20"/>
                <w:szCs w:val="20"/>
              </w:rPr>
              <w:t xml:space="preserve"> </w:t>
            </w:r>
          </w:p>
        </w:tc>
        <w:tc>
          <w:tcPr>
            <w:tcW w:w="3402" w:type="dxa"/>
            <w:vAlign w:val="bottom"/>
          </w:tcPr>
          <w:p w:rsidR="00F94519" w:rsidRPr="00AD1C54" w:rsidRDefault="00F94519" w:rsidP="009C1A85">
            <w:pPr>
              <w:rPr>
                <w:color w:val="000000"/>
                <w:sz w:val="16"/>
                <w:szCs w:val="16"/>
              </w:rPr>
            </w:pPr>
            <w:proofErr w:type="spellStart"/>
            <w:r w:rsidRPr="00AD1C54">
              <w:rPr>
                <w:color w:val="000000"/>
                <w:sz w:val="16"/>
                <w:szCs w:val="16"/>
              </w:rPr>
              <w:t>Тропонин-тест</w:t>
            </w:r>
            <w:proofErr w:type="spellEnd"/>
            <w:r w:rsidRPr="00AD1C54">
              <w:rPr>
                <w:color w:val="000000"/>
                <w:sz w:val="16"/>
                <w:szCs w:val="16"/>
              </w:rPr>
              <w:t xml:space="preserve"> — это количественный экспресс-анализ для определения сердечного </w:t>
            </w:r>
            <w:proofErr w:type="spellStart"/>
            <w:r w:rsidRPr="00AD1C54">
              <w:rPr>
                <w:color w:val="000000"/>
                <w:sz w:val="16"/>
                <w:szCs w:val="16"/>
              </w:rPr>
              <w:t>тропонина</w:t>
            </w:r>
            <w:proofErr w:type="spellEnd"/>
            <w:r w:rsidRPr="00AD1C54">
              <w:rPr>
                <w:color w:val="000000"/>
                <w:sz w:val="16"/>
                <w:szCs w:val="16"/>
              </w:rPr>
              <w:t xml:space="preserve"> I в сыворотке, плазме или цельной крови. В методе используется уникальная комбинация </w:t>
            </w:r>
            <w:proofErr w:type="spellStart"/>
            <w:r w:rsidRPr="00AD1C54">
              <w:rPr>
                <w:color w:val="000000"/>
                <w:sz w:val="16"/>
                <w:szCs w:val="16"/>
              </w:rPr>
              <w:t>моноклонального</w:t>
            </w:r>
            <w:proofErr w:type="spellEnd"/>
            <w:r w:rsidRPr="00AD1C54">
              <w:rPr>
                <w:color w:val="000000"/>
                <w:sz w:val="16"/>
                <w:szCs w:val="16"/>
              </w:rPr>
              <w:t xml:space="preserve"> </w:t>
            </w:r>
            <w:proofErr w:type="spellStart"/>
            <w:r w:rsidRPr="00AD1C54">
              <w:rPr>
                <w:color w:val="000000"/>
                <w:sz w:val="16"/>
                <w:szCs w:val="16"/>
              </w:rPr>
              <w:t>конъюгата</w:t>
            </w:r>
            <w:proofErr w:type="spellEnd"/>
            <w:r w:rsidRPr="00AD1C54">
              <w:rPr>
                <w:color w:val="000000"/>
                <w:sz w:val="16"/>
                <w:szCs w:val="16"/>
              </w:rPr>
              <w:t xml:space="preserve"> красителя и </w:t>
            </w:r>
            <w:proofErr w:type="spellStart"/>
            <w:r w:rsidRPr="00AD1C54">
              <w:rPr>
                <w:color w:val="000000"/>
                <w:sz w:val="16"/>
                <w:szCs w:val="16"/>
              </w:rPr>
              <w:t>поликлональных</w:t>
            </w:r>
            <w:proofErr w:type="spellEnd"/>
            <w:r w:rsidRPr="00AD1C54">
              <w:rPr>
                <w:color w:val="000000"/>
                <w:sz w:val="16"/>
                <w:szCs w:val="16"/>
              </w:rPr>
              <w:t xml:space="preserve"> твердофазных антител для определения </w:t>
            </w:r>
            <w:proofErr w:type="spellStart"/>
            <w:r w:rsidRPr="00AD1C54">
              <w:rPr>
                <w:color w:val="000000"/>
                <w:sz w:val="16"/>
                <w:szCs w:val="16"/>
              </w:rPr>
              <w:t>тропонина</w:t>
            </w:r>
            <w:proofErr w:type="spellEnd"/>
            <w:r w:rsidRPr="00AD1C54">
              <w:rPr>
                <w:color w:val="000000"/>
                <w:sz w:val="16"/>
                <w:szCs w:val="16"/>
              </w:rPr>
              <w:t xml:space="preserve"> в тестируемых образцах с высокой степенью чувствительности.  III. </w:t>
            </w:r>
            <w:proofErr w:type="gramStart"/>
            <w:r w:rsidRPr="00AD1C54">
              <w:rPr>
                <w:color w:val="000000"/>
                <w:sz w:val="16"/>
                <w:szCs w:val="16"/>
              </w:rPr>
              <w:t>КОМПОНЕНТЫ НАБОРА В каждом наборе есть все необходимое для проведения  20 тестов. 1- Устройства реакции: 20 2- Одноразовые пластиковые пипетки: 20 3- Разбавитель во флаконе-капельнице: 5 мл 4- Листок-вкладыш с инструкцией: 1 IV- ХРАНЕНИЕ И СТАБИЛЬНОСТЬ 1- Все компоненты набора, включая дополнительный контроль перед восстановлением дистиллированной водой, следует хранить при любой температуре от + 4 °C до + 30 °C в герметичном</w:t>
            </w:r>
            <w:proofErr w:type="gramEnd"/>
            <w:r w:rsidRPr="00AD1C54">
              <w:rPr>
                <w:color w:val="000000"/>
                <w:sz w:val="16"/>
                <w:szCs w:val="16"/>
              </w:rPr>
              <w:t xml:space="preserve"> </w:t>
            </w:r>
            <w:proofErr w:type="gramStart"/>
            <w:r w:rsidRPr="00AD1C54">
              <w:rPr>
                <w:color w:val="000000"/>
                <w:sz w:val="16"/>
                <w:szCs w:val="16"/>
              </w:rPr>
              <w:t>футляре</w:t>
            </w:r>
            <w:proofErr w:type="gramEnd"/>
            <w:r w:rsidRPr="00AD1C54">
              <w:rPr>
                <w:color w:val="000000"/>
                <w:sz w:val="16"/>
                <w:szCs w:val="16"/>
              </w:rPr>
              <w:t xml:space="preserve">. 2- Не замораживайте тестовый набор. 3- Набор стабилен до истечения срока годности, указанного на этикетке упаковки. Экспресс тест для </w:t>
            </w:r>
            <w:proofErr w:type="spellStart"/>
            <w:r w:rsidRPr="00AD1C54">
              <w:rPr>
                <w:color w:val="000000"/>
                <w:sz w:val="16"/>
                <w:szCs w:val="16"/>
              </w:rPr>
              <w:t>иммунохроматографического</w:t>
            </w:r>
            <w:proofErr w:type="spellEnd"/>
            <w:r w:rsidRPr="00AD1C54">
              <w:rPr>
                <w:color w:val="000000"/>
                <w:sz w:val="16"/>
                <w:szCs w:val="16"/>
              </w:rPr>
              <w:t xml:space="preserve"> анализатора </w:t>
            </w:r>
            <w:proofErr w:type="spellStart"/>
            <w:r w:rsidRPr="00AD1C54">
              <w:rPr>
                <w:color w:val="000000"/>
                <w:sz w:val="16"/>
                <w:szCs w:val="16"/>
              </w:rPr>
              <w:t>Easy</w:t>
            </w:r>
            <w:proofErr w:type="spellEnd"/>
            <w:r w:rsidRPr="00AD1C54">
              <w:rPr>
                <w:color w:val="000000"/>
                <w:sz w:val="16"/>
                <w:szCs w:val="16"/>
              </w:rPr>
              <w:t xml:space="preserve"> </w:t>
            </w:r>
            <w:proofErr w:type="spellStart"/>
            <w:r w:rsidRPr="00AD1C54">
              <w:rPr>
                <w:color w:val="000000"/>
                <w:sz w:val="16"/>
                <w:szCs w:val="16"/>
              </w:rPr>
              <w:t>R</w:t>
            </w:r>
            <w:proofErr w:type="gramStart"/>
            <w:r w:rsidRPr="00AD1C54">
              <w:rPr>
                <w:color w:val="000000"/>
                <w:sz w:val="16"/>
                <w:szCs w:val="16"/>
              </w:rPr>
              <w:t>еа</w:t>
            </w:r>
            <w:proofErr w:type="gramEnd"/>
            <w:r w:rsidRPr="00AD1C54">
              <w:rPr>
                <w:color w:val="000000"/>
                <w:sz w:val="16"/>
                <w:szCs w:val="16"/>
              </w:rPr>
              <w:t>der+</w:t>
            </w:r>
            <w:proofErr w:type="spellEnd"/>
          </w:p>
        </w:tc>
        <w:tc>
          <w:tcPr>
            <w:tcW w:w="992" w:type="dxa"/>
            <w:vAlign w:val="center"/>
          </w:tcPr>
          <w:p w:rsidR="00F94519" w:rsidRPr="00A3513A" w:rsidRDefault="00F94519" w:rsidP="009C1A85">
            <w:pPr>
              <w:jc w:val="center"/>
              <w:rPr>
                <w:sz w:val="20"/>
                <w:szCs w:val="20"/>
              </w:rPr>
            </w:pPr>
            <w:proofErr w:type="spellStart"/>
            <w:r w:rsidRPr="00A3513A">
              <w:rPr>
                <w:sz w:val="20"/>
                <w:szCs w:val="20"/>
              </w:rPr>
              <w:t>упак</w:t>
            </w:r>
            <w:proofErr w:type="spellEnd"/>
          </w:p>
        </w:tc>
        <w:tc>
          <w:tcPr>
            <w:tcW w:w="1134" w:type="dxa"/>
            <w:vAlign w:val="center"/>
          </w:tcPr>
          <w:p w:rsidR="00F94519" w:rsidRPr="00A3513A" w:rsidRDefault="00F94519" w:rsidP="009C1A85">
            <w:pPr>
              <w:jc w:val="center"/>
              <w:rPr>
                <w:sz w:val="20"/>
                <w:szCs w:val="20"/>
              </w:rPr>
            </w:pPr>
            <w:r w:rsidRPr="00A3513A">
              <w:rPr>
                <w:sz w:val="20"/>
                <w:szCs w:val="20"/>
              </w:rPr>
              <w:t>250</w:t>
            </w:r>
          </w:p>
        </w:tc>
        <w:tc>
          <w:tcPr>
            <w:tcW w:w="1134" w:type="dxa"/>
            <w:vAlign w:val="center"/>
          </w:tcPr>
          <w:p w:rsidR="00F94519" w:rsidRPr="00A3513A" w:rsidRDefault="00F94519" w:rsidP="009C1A85">
            <w:pPr>
              <w:jc w:val="center"/>
              <w:rPr>
                <w:sz w:val="20"/>
                <w:szCs w:val="20"/>
              </w:rPr>
            </w:pPr>
            <w:r w:rsidRPr="00A3513A">
              <w:rPr>
                <w:sz w:val="20"/>
                <w:szCs w:val="20"/>
              </w:rPr>
              <w:t>51 750</w:t>
            </w:r>
          </w:p>
        </w:tc>
        <w:tc>
          <w:tcPr>
            <w:tcW w:w="1559" w:type="dxa"/>
            <w:vAlign w:val="center"/>
          </w:tcPr>
          <w:p w:rsidR="00F94519" w:rsidRPr="00A3513A" w:rsidRDefault="00F94519" w:rsidP="009C1A85">
            <w:pPr>
              <w:jc w:val="center"/>
              <w:rPr>
                <w:b/>
                <w:bCs/>
                <w:sz w:val="20"/>
                <w:szCs w:val="20"/>
              </w:rPr>
            </w:pPr>
            <w:r w:rsidRPr="00A3513A">
              <w:rPr>
                <w:b/>
                <w:bCs/>
                <w:sz w:val="20"/>
                <w:szCs w:val="20"/>
              </w:rPr>
              <w:t>12 937 500</w:t>
            </w:r>
          </w:p>
        </w:tc>
      </w:tr>
      <w:tr w:rsidR="00F94519" w:rsidRPr="00F34C80" w:rsidTr="00F94519">
        <w:tc>
          <w:tcPr>
            <w:tcW w:w="567" w:type="dxa"/>
          </w:tcPr>
          <w:p w:rsidR="00F94519" w:rsidRPr="00F34C80" w:rsidRDefault="00F94519" w:rsidP="009C1A85">
            <w:pPr>
              <w:pStyle w:val="a3"/>
              <w:widowControl w:val="0"/>
              <w:autoSpaceDE w:val="0"/>
              <w:autoSpaceDN w:val="0"/>
              <w:rPr>
                <w:sz w:val="20"/>
                <w:szCs w:val="20"/>
                <w:lang w:val="kk-KZ"/>
              </w:rPr>
            </w:pPr>
          </w:p>
        </w:tc>
        <w:tc>
          <w:tcPr>
            <w:tcW w:w="8364" w:type="dxa"/>
            <w:gridSpan w:val="5"/>
          </w:tcPr>
          <w:p w:rsidR="00F94519" w:rsidRPr="00F34C80" w:rsidRDefault="00F94519" w:rsidP="009C1A85">
            <w:pPr>
              <w:pStyle w:val="a3"/>
              <w:widowControl w:val="0"/>
              <w:autoSpaceDE w:val="0"/>
              <w:autoSpaceDN w:val="0"/>
              <w:rPr>
                <w:b/>
                <w:sz w:val="20"/>
                <w:szCs w:val="20"/>
              </w:rPr>
            </w:pPr>
            <w:r w:rsidRPr="007842B3">
              <w:rPr>
                <w:b/>
                <w:szCs w:val="20"/>
              </w:rPr>
              <w:t>Итого</w:t>
            </w:r>
          </w:p>
        </w:tc>
        <w:tc>
          <w:tcPr>
            <w:tcW w:w="1559" w:type="dxa"/>
          </w:tcPr>
          <w:p w:rsidR="00F94519" w:rsidRPr="00DC1F00" w:rsidRDefault="00F94519" w:rsidP="009C1A85">
            <w:pPr>
              <w:pStyle w:val="a3"/>
              <w:widowControl w:val="0"/>
              <w:autoSpaceDE w:val="0"/>
              <w:autoSpaceDN w:val="0"/>
              <w:jc w:val="center"/>
              <w:rPr>
                <w:b/>
                <w:sz w:val="20"/>
                <w:szCs w:val="20"/>
                <w:lang w:val="kk-KZ"/>
              </w:rPr>
            </w:pPr>
            <w:r>
              <w:rPr>
                <w:b/>
                <w:sz w:val="20"/>
                <w:szCs w:val="20"/>
                <w:lang w:val="kk-KZ"/>
              </w:rPr>
              <w:t>155 698 500,00</w:t>
            </w:r>
          </w:p>
        </w:tc>
      </w:tr>
    </w:tbl>
    <w:p w:rsidR="00CA0A9A" w:rsidRDefault="00CA0A9A" w:rsidP="006330FE"/>
    <w:sectPr w:rsidR="00CA0A9A" w:rsidSect="00B51D2B">
      <w:pgSz w:w="11906" w:h="16838"/>
      <w:pgMar w:top="567" w:right="397"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4E0" w:rsidRDefault="007E14E0">
      <w:r>
        <w:separator/>
      </w:r>
    </w:p>
  </w:endnote>
  <w:endnote w:type="continuationSeparator" w:id="0">
    <w:p w:rsidR="007E14E0" w:rsidRDefault="007E1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4E0" w:rsidRDefault="007E14E0">
      <w:pPr>
        <w:spacing w:after="0"/>
      </w:pPr>
      <w:r>
        <w:separator/>
      </w:r>
    </w:p>
  </w:footnote>
  <w:footnote w:type="continuationSeparator" w:id="0">
    <w:p w:rsidR="007E14E0" w:rsidRDefault="007E14E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45FE7"/>
    <w:rsid w:val="000448A9"/>
    <w:rsid w:val="00145C5F"/>
    <w:rsid w:val="0015289F"/>
    <w:rsid w:val="0015531B"/>
    <w:rsid w:val="00162D87"/>
    <w:rsid w:val="001834AA"/>
    <w:rsid w:val="00193FAC"/>
    <w:rsid w:val="001F1025"/>
    <w:rsid w:val="002202E9"/>
    <w:rsid w:val="00255BF9"/>
    <w:rsid w:val="00257827"/>
    <w:rsid w:val="002723AB"/>
    <w:rsid w:val="002E1838"/>
    <w:rsid w:val="002E6B43"/>
    <w:rsid w:val="00340A5B"/>
    <w:rsid w:val="00357CF6"/>
    <w:rsid w:val="00380EA0"/>
    <w:rsid w:val="00383E89"/>
    <w:rsid w:val="00401314"/>
    <w:rsid w:val="00430CD1"/>
    <w:rsid w:val="0043122D"/>
    <w:rsid w:val="00434DB3"/>
    <w:rsid w:val="00453961"/>
    <w:rsid w:val="00526186"/>
    <w:rsid w:val="00542DA9"/>
    <w:rsid w:val="006330FE"/>
    <w:rsid w:val="00634883"/>
    <w:rsid w:val="00662267"/>
    <w:rsid w:val="0067361B"/>
    <w:rsid w:val="00747C62"/>
    <w:rsid w:val="007701B8"/>
    <w:rsid w:val="00792E47"/>
    <w:rsid w:val="0079755D"/>
    <w:rsid w:val="007A636F"/>
    <w:rsid w:val="007B4E51"/>
    <w:rsid w:val="007E14E0"/>
    <w:rsid w:val="00805E16"/>
    <w:rsid w:val="00845FE7"/>
    <w:rsid w:val="00860007"/>
    <w:rsid w:val="0087353B"/>
    <w:rsid w:val="008D04DC"/>
    <w:rsid w:val="00900510"/>
    <w:rsid w:val="00956CD8"/>
    <w:rsid w:val="009D2390"/>
    <w:rsid w:val="009E4270"/>
    <w:rsid w:val="00A2221F"/>
    <w:rsid w:val="00AB0571"/>
    <w:rsid w:val="00AE14D0"/>
    <w:rsid w:val="00B40976"/>
    <w:rsid w:val="00B51D2B"/>
    <w:rsid w:val="00B5791D"/>
    <w:rsid w:val="00B63941"/>
    <w:rsid w:val="00B66A71"/>
    <w:rsid w:val="00BC1D44"/>
    <w:rsid w:val="00BF568C"/>
    <w:rsid w:val="00C94265"/>
    <w:rsid w:val="00CA0A9A"/>
    <w:rsid w:val="00D24F18"/>
    <w:rsid w:val="00DB0E39"/>
    <w:rsid w:val="00DB41DA"/>
    <w:rsid w:val="00DD315D"/>
    <w:rsid w:val="00E4589F"/>
    <w:rsid w:val="00EF14BF"/>
    <w:rsid w:val="00F2018D"/>
    <w:rsid w:val="00F23574"/>
    <w:rsid w:val="00F52F1C"/>
    <w:rsid w:val="00F94519"/>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 w:type="character" w:customStyle="1" w:styleId="s0">
    <w:name w:val="s0"/>
    <w:basedOn w:val="a0"/>
    <w:rsid w:val="006330FE"/>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16</Pages>
  <Words>7358</Words>
  <Characters>41943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23</cp:revision>
  <dcterms:created xsi:type="dcterms:W3CDTF">2023-09-21T10:20:00Z</dcterms:created>
  <dcterms:modified xsi:type="dcterms:W3CDTF">2025-01-08T11:48:00Z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